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602A" w14:textId="77777777" w:rsidR="003B043C" w:rsidRPr="005605C6" w:rsidRDefault="003B043C" w:rsidP="005605C6">
      <w:pPr>
        <w:spacing w:line="276" w:lineRule="auto"/>
        <w:rPr>
          <w:rFonts w:ascii="Work Sans" w:hAnsi="Work Sans" w:cstheme="minorHAnsi"/>
          <w:b/>
          <w:bCs/>
          <w:sz w:val="28"/>
          <w:szCs w:val="28"/>
        </w:rPr>
      </w:pPr>
    </w:p>
    <w:p w14:paraId="02A09EFC" w14:textId="6E8B3017" w:rsidR="00CE4B02" w:rsidRPr="00B17837" w:rsidRDefault="004257E0" w:rsidP="00B17837">
      <w:pPr>
        <w:pStyle w:val="Header"/>
        <w:spacing w:line="276" w:lineRule="auto"/>
        <w:jc w:val="center"/>
        <w:rPr>
          <w:rFonts w:ascii="Work Sans" w:hAnsi="Work Sans" w:cs="Open Sans"/>
          <w:b/>
          <w:bCs/>
          <w:color w:val="294581" w:themeColor="accent1"/>
          <w:sz w:val="28"/>
          <w:szCs w:val="28"/>
        </w:rPr>
      </w:pPr>
      <w:r w:rsidRPr="005605C6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>Doxycycline as STI PEP</w:t>
      </w:r>
      <w:r w:rsidR="00CE4B02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 xml:space="preserve"> 101</w:t>
      </w:r>
    </w:p>
    <w:p w14:paraId="271DAE60" w14:textId="77777777" w:rsidR="003B043C" w:rsidRPr="005605C6" w:rsidRDefault="003B043C" w:rsidP="005605C6">
      <w:pPr>
        <w:spacing w:line="276" w:lineRule="auto"/>
        <w:rPr>
          <w:rFonts w:ascii="Work Sans" w:hAnsi="Work Sans" w:cstheme="minorHAnsi"/>
          <w:b/>
          <w:bCs/>
          <w:sz w:val="28"/>
          <w:szCs w:val="28"/>
        </w:rPr>
      </w:pPr>
    </w:p>
    <w:p w14:paraId="07FBDA79" w14:textId="4D51E26D" w:rsidR="00EA47E6" w:rsidRPr="00747AC2" w:rsidRDefault="00EA47E6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747AC2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What is </w:t>
      </w:r>
      <w:r w:rsidR="005013C6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 as STI PEP</w:t>
      </w:r>
      <w:r w:rsidRPr="00747AC2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4BCAB517" w14:textId="25A37FD2" w:rsidR="00EA47E6" w:rsidRPr="00747AC2" w:rsidRDefault="005013C6" w:rsidP="005605C6">
      <w:pPr>
        <w:spacing w:line="276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Doxycycline as STI PEP</w:t>
      </w:r>
      <w:r w:rsidR="00D73BDD" w:rsidRPr="00747AC2">
        <w:rPr>
          <w:rFonts w:ascii="Work Sans" w:hAnsi="Work Sans" w:cstheme="minorHAnsi"/>
        </w:rPr>
        <w:t xml:space="preserve"> </w:t>
      </w:r>
      <w:r w:rsidR="003C53D6">
        <w:rPr>
          <w:rFonts w:ascii="Work Sans" w:hAnsi="Work Sans" w:cstheme="minorHAnsi"/>
        </w:rPr>
        <w:t>is a new and effective way to prevent</w:t>
      </w:r>
      <w:r w:rsidR="00D73BDD" w:rsidRPr="00747AC2">
        <w:rPr>
          <w:rFonts w:ascii="Work Sans" w:hAnsi="Work Sans" w:cstheme="minorHAnsi"/>
        </w:rPr>
        <w:t xml:space="preserve"> bacterial STIs</w:t>
      </w:r>
      <w:r w:rsidR="003C53D6">
        <w:rPr>
          <w:rFonts w:ascii="Work Sans" w:hAnsi="Work Sans" w:cstheme="minorHAnsi"/>
        </w:rPr>
        <w:t xml:space="preserve">. By taking the well-known </w:t>
      </w:r>
      <w:r w:rsidR="00625CA8">
        <w:rPr>
          <w:rFonts w:ascii="Work Sans" w:hAnsi="Work Sans" w:cstheme="minorHAnsi"/>
        </w:rPr>
        <w:t xml:space="preserve">antibiotic doxycycline </w:t>
      </w:r>
      <w:r w:rsidR="00625CA8" w:rsidRPr="00747AC2">
        <w:rPr>
          <w:rFonts w:ascii="Work Sans" w:hAnsi="Work Sans" w:cstheme="minorHAnsi"/>
        </w:rPr>
        <w:t>ideally within 24 hours but no later than 72 hours after condomless oral, anal, or vaginal sex</w:t>
      </w:r>
      <w:r w:rsidR="004977B0">
        <w:rPr>
          <w:rFonts w:ascii="Work Sans" w:hAnsi="Work Sans" w:cstheme="minorHAnsi"/>
        </w:rPr>
        <w:t>, patients c</w:t>
      </w:r>
      <w:r w:rsidR="00041FCB" w:rsidRPr="00747AC2">
        <w:rPr>
          <w:rFonts w:ascii="Work Sans" w:hAnsi="Work Sans" w:cstheme="minorHAnsi"/>
        </w:rPr>
        <w:t xml:space="preserve">an potentially reduce STI acquisition and transmission. </w:t>
      </w:r>
    </w:p>
    <w:p w14:paraId="130DF806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7AAEDFDC" w14:textId="2945C18E" w:rsidR="00BF75C1" w:rsidRPr="00541451" w:rsidRDefault="004977B0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How effective is D</w:t>
      </w:r>
      <w:r w:rsidR="005013C6"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oxycycline as STI PEP</w:t>
      </w:r>
      <w:r w:rsidR="00BF75C1"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1F8EF2C8" w14:textId="442E728A" w:rsidR="00EE645B" w:rsidRPr="00747AC2" w:rsidRDefault="00EE645B" w:rsidP="005605C6">
      <w:p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An NIH-funded study </w:t>
      </w:r>
      <w:hyperlink r:id="rId7" w:history="1">
        <w:r w:rsidRPr="00747AC2">
          <w:rPr>
            <w:rStyle w:val="Hyperlink"/>
            <w:rFonts w:ascii="Work Sans" w:hAnsi="Work Sans" w:cstheme="minorHAnsi"/>
          </w:rPr>
          <w:t>published</w:t>
        </w:r>
      </w:hyperlink>
      <w:r w:rsidRPr="00747AC2">
        <w:rPr>
          <w:rFonts w:ascii="Work Sans" w:hAnsi="Work Sans" w:cstheme="minorHAnsi"/>
        </w:rPr>
        <w:t xml:space="preserve"> by the New England Journal of Medicine in April 2023 found that </w:t>
      </w:r>
      <w:r w:rsidR="005013C6">
        <w:rPr>
          <w:rFonts w:ascii="Work Sans" w:hAnsi="Work Sans" w:cstheme="minorHAnsi"/>
        </w:rPr>
        <w:t>doxycycline as STI PEP</w:t>
      </w:r>
      <w:r w:rsidRPr="00747AC2">
        <w:rPr>
          <w:rFonts w:ascii="Work Sans" w:hAnsi="Work Sans" w:cstheme="minorHAnsi"/>
        </w:rPr>
        <w:t xml:space="preserve"> reduced syphilis by 87%, chlamydia by 88%, and gonorrhea by 55% in individuals taking HIV PrEP. Moreover, </w:t>
      </w:r>
      <w:r w:rsidR="005013C6">
        <w:rPr>
          <w:rFonts w:ascii="Work Sans" w:hAnsi="Work Sans" w:cstheme="minorHAnsi"/>
        </w:rPr>
        <w:t>doxycycline as STI PEP</w:t>
      </w:r>
      <w:r w:rsidRPr="00747AC2">
        <w:rPr>
          <w:rFonts w:ascii="Work Sans" w:hAnsi="Work Sans" w:cstheme="minorHAnsi"/>
        </w:rPr>
        <w:t xml:space="preserve"> reduced syphilis by 77%, chlamydia by 74%, and gonorrhea by 57% in people living with HIV (PLWH). (</w:t>
      </w:r>
      <w:r w:rsidR="00FC32E2" w:rsidRPr="00747AC2">
        <w:rPr>
          <w:rFonts w:ascii="Work Sans" w:hAnsi="Work Sans" w:cstheme="minorHAnsi"/>
        </w:rPr>
        <w:t xml:space="preserve">Source: </w:t>
      </w:r>
      <w:hyperlink r:id="rId8" w:history="1">
        <w:r w:rsidRPr="00747AC2">
          <w:rPr>
            <w:rStyle w:val="Hyperlink"/>
            <w:rFonts w:ascii="Work Sans" w:hAnsi="Work Sans" w:cstheme="minorHAnsi"/>
          </w:rPr>
          <w:t>N Engl J Med 2023; 388:1296-1306</w:t>
        </w:r>
      </w:hyperlink>
      <w:r w:rsidRPr="00747AC2">
        <w:rPr>
          <w:rFonts w:ascii="Work Sans" w:hAnsi="Work Sans" w:cstheme="minorHAnsi"/>
        </w:rPr>
        <w:t xml:space="preserve">) </w:t>
      </w:r>
    </w:p>
    <w:p w14:paraId="19FF920A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5C661F80" w14:textId="46F48D5A" w:rsidR="007946F7" w:rsidRPr="00973D65" w:rsidRDefault="004977B0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Can anyone use D</w:t>
      </w:r>
      <w:r w:rsidR="005013C6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oxycycline as STI PEP</w:t>
      </w:r>
      <w:r w:rsidR="007946F7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?</w:t>
      </w:r>
    </w:p>
    <w:p w14:paraId="54D36B08" w14:textId="488813F2" w:rsidR="007946F7" w:rsidRPr="00747AC2" w:rsidRDefault="005003E6" w:rsidP="005605C6">
      <w:p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Current efficacy data </w:t>
      </w:r>
      <w:r w:rsidR="006B27BB" w:rsidRPr="00747AC2">
        <w:rPr>
          <w:rFonts w:ascii="Work Sans" w:hAnsi="Work Sans" w:cstheme="minorHAnsi"/>
        </w:rPr>
        <w:t>only applies to adult gay</w:t>
      </w:r>
      <w:r w:rsidR="00AA2726" w:rsidRPr="00747AC2">
        <w:rPr>
          <w:rFonts w:ascii="Work Sans" w:hAnsi="Work Sans" w:cstheme="minorHAnsi"/>
        </w:rPr>
        <w:t>, bisexual,</w:t>
      </w:r>
      <w:r w:rsidR="006B27BB" w:rsidRPr="00747AC2">
        <w:rPr>
          <w:rFonts w:ascii="Work Sans" w:hAnsi="Work Sans" w:cstheme="minorHAnsi"/>
        </w:rPr>
        <w:t xml:space="preserve"> and other men who have sex with men (</w:t>
      </w:r>
      <w:r w:rsidR="00973D65">
        <w:rPr>
          <w:rFonts w:ascii="Work Sans" w:hAnsi="Work Sans" w:cstheme="minorHAnsi"/>
        </w:rPr>
        <w:t>GB</w:t>
      </w:r>
      <w:r w:rsidR="006B27BB" w:rsidRPr="00747AC2">
        <w:rPr>
          <w:rFonts w:ascii="Work Sans" w:hAnsi="Work Sans" w:cstheme="minorHAnsi"/>
        </w:rPr>
        <w:t>MSM)</w:t>
      </w:r>
      <w:r w:rsidR="00973D65">
        <w:rPr>
          <w:rFonts w:ascii="Work Sans" w:hAnsi="Work Sans" w:cstheme="minorHAnsi"/>
        </w:rPr>
        <w:t>,</w:t>
      </w:r>
      <w:r w:rsidR="006B27BB" w:rsidRPr="00747AC2">
        <w:rPr>
          <w:rFonts w:ascii="Work Sans" w:hAnsi="Work Sans" w:cstheme="minorHAnsi"/>
        </w:rPr>
        <w:t xml:space="preserve"> as well as transgender women</w:t>
      </w:r>
      <w:r w:rsidR="0001421F" w:rsidRPr="00747AC2">
        <w:rPr>
          <w:rFonts w:ascii="Work Sans" w:hAnsi="Work Sans" w:cstheme="minorHAnsi"/>
        </w:rPr>
        <w:t xml:space="preserve">. Studies among </w:t>
      </w:r>
      <w:r w:rsidR="007946F7" w:rsidRPr="00747AC2">
        <w:rPr>
          <w:rFonts w:ascii="Work Sans" w:hAnsi="Work Sans" w:cstheme="minorHAnsi"/>
        </w:rPr>
        <w:t>cisgender women</w:t>
      </w:r>
      <w:r w:rsidR="00655682" w:rsidRPr="00747AC2">
        <w:rPr>
          <w:rFonts w:ascii="Work Sans" w:hAnsi="Work Sans" w:cstheme="minorHAnsi"/>
        </w:rPr>
        <w:t xml:space="preserve"> and adolescents are ongoing.</w:t>
      </w:r>
    </w:p>
    <w:p w14:paraId="0FA5C52B" w14:textId="77777777" w:rsidR="005E465C" w:rsidRPr="00747AC2" w:rsidRDefault="005E465C" w:rsidP="005605C6">
      <w:pPr>
        <w:spacing w:line="276" w:lineRule="auto"/>
        <w:rPr>
          <w:rFonts w:ascii="Work Sans" w:hAnsi="Work Sans" w:cstheme="minorHAnsi"/>
        </w:rPr>
      </w:pPr>
    </w:p>
    <w:p w14:paraId="68DF49FD" w14:textId="2B66BC78" w:rsidR="005E465C" w:rsidRPr="00973D65" w:rsidRDefault="00A205C2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How do patients use</w:t>
      </w:r>
      <w:r w:rsidR="005E465C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</w:t>
      </w: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</w:t>
      </w:r>
      <w:r w:rsidR="005013C6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oxycycline as STI PEP</w:t>
      </w:r>
      <w:r w:rsidR="005E465C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3739A9F5" w14:textId="02825696" w:rsidR="00A205C2" w:rsidRDefault="00A205C2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 xml:space="preserve">Doxycycline is a pill </w:t>
      </w:r>
      <w:r w:rsidR="00794DAF">
        <w:rPr>
          <w:rFonts w:ascii="Work Sans" w:hAnsi="Work Sans" w:cstheme="minorHAnsi"/>
        </w:rPr>
        <w:t xml:space="preserve">that is generally available only by prescription. </w:t>
      </w:r>
    </w:p>
    <w:p w14:paraId="518D52AB" w14:textId="1F5912F9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>200 mg of doxycycline should be taken ideally within 24 hours but no later than 72 hours after condomless oral, anal or vaginal sex</w:t>
      </w:r>
    </w:p>
    <w:p w14:paraId="35A95B57" w14:textId="77777777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Doxycycline can be taken as often as every day, depending on frequency of sexual activity, but individuals should not take more than 200 mg within a 24-hour period. </w:t>
      </w:r>
    </w:p>
    <w:p w14:paraId="3D21DDB1" w14:textId="77777777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Either doxycycline </w:t>
      </w:r>
      <w:proofErr w:type="spellStart"/>
      <w:r w:rsidRPr="00747AC2">
        <w:rPr>
          <w:rFonts w:ascii="Work Sans" w:hAnsi="Work Sans" w:cstheme="minorHAnsi"/>
        </w:rPr>
        <w:t>hyclate</w:t>
      </w:r>
      <w:proofErr w:type="spellEnd"/>
      <w:r w:rsidRPr="00747AC2">
        <w:rPr>
          <w:rFonts w:ascii="Work Sans" w:hAnsi="Work Sans" w:cstheme="minorHAnsi"/>
        </w:rPr>
        <w:t xml:space="preserve"> delayed release 200 mg (1 tab) OR doxycycline </w:t>
      </w:r>
      <w:proofErr w:type="spellStart"/>
      <w:r w:rsidRPr="00747AC2">
        <w:rPr>
          <w:rFonts w:ascii="Work Sans" w:hAnsi="Work Sans" w:cstheme="minorHAnsi"/>
        </w:rPr>
        <w:t>hyclate</w:t>
      </w:r>
      <w:proofErr w:type="spellEnd"/>
      <w:r w:rsidRPr="00747AC2">
        <w:rPr>
          <w:rFonts w:ascii="Work Sans" w:hAnsi="Work Sans" w:cstheme="minorHAnsi"/>
        </w:rPr>
        <w:t xml:space="preserve"> or monohydrate immediate release 100 mg (2 tabs taken simultaneously) are acceptable.</w:t>
      </w:r>
    </w:p>
    <w:p w14:paraId="099AD05E" w14:textId="77777777" w:rsidR="00794DAF" w:rsidRDefault="00794DAF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100B51D6" w14:textId="533EFCCF" w:rsidR="009479C3" w:rsidRPr="00973D65" w:rsidRDefault="00E80E60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lastRenderedPageBreak/>
        <w:t>What do I need to know about Doxycycline as STI PEP and</w:t>
      </w:r>
      <w:r w:rsidR="009479C3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STI testing?</w:t>
      </w:r>
    </w:p>
    <w:p w14:paraId="46880B9E" w14:textId="0067FD68" w:rsidR="009479C3" w:rsidRPr="00747AC2" w:rsidRDefault="00973D65" w:rsidP="005605C6">
      <w:pPr>
        <w:spacing w:line="276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Patients using</w:t>
      </w:r>
      <w:r w:rsidR="009479C3" w:rsidRPr="00747AC2">
        <w:rPr>
          <w:rFonts w:ascii="Work Sans" w:hAnsi="Work Sans" w:cstheme="minorHAnsi"/>
        </w:rPr>
        <w:t xml:space="preserve"> </w:t>
      </w:r>
      <w:r w:rsidR="005013C6">
        <w:rPr>
          <w:rFonts w:ascii="Work Sans" w:hAnsi="Work Sans" w:cstheme="minorHAnsi"/>
        </w:rPr>
        <w:t>doxycycline as STI PEP</w:t>
      </w:r>
      <w:r w:rsidR="009479C3" w:rsidRPr="00747AC2">
        <w:rPr>
          <w:rFonts w:ascii="Work Sans" w:hAnsi="Work Sans" w:cstheme="minorHAnsi"/>
        </w:rPr>
        <w:t xml:space="preserve"> should still engage in regular sexual health testing, </w:t>
      </w:r>
      <w:r w:rsidR="001D34E0" w:rsidRPr="00747AC2">
        <w:rPr>
          <w:rFonts w:ascii="Work Sans" w:hAnsi="Work Sans" w:cstheme="minorHAnsi"/>
        </w:rPr>
        <w:t xml:space="preserve">including being screened for gonorrhea, chlamydia, syphilis, and HIV (if not known to be living with HIV) every three months. </w:t>
      </w:r>
      <w:r w:rsidR="00456E2D" w:rsidRPr="00747AC2">
        <w:rPr>
          <w:rFonts w:ascii="Work Sans" w:hAnsi="Work Sans" w:cstheme="minorHAnsi"/>
        </w:rPr>
        <w:t xml:space="preserve">If a person utilizing </w:t>
      </w:r>
      <w:r w:rsidR="005013C6">
        <w:rPr>
          <w:rFonts w:ascii="Work Sans" w:hAnsi="Work Sans" w:cstheme="minorHAnsi"/>
        </w:rPr>
        <w:t>doxycycline as STI PEP</w:t>
      </w:r>
      <w:r w:rsidR="00456E2D" w:rsidRPr="00747AC2">
        <w:rPr>
          <w:rFonts w:ascii="Work Sans" w:hAnsi="Work Sans" w:cstheme="minorHAnsi"/>
        </w:rPr>
        <w:t xml:space="preserve"> is diagnosed with an STI, they should be treat</w:t>
      </w:r>
      <w:r w:rsidR="000B228F" w:rsidRPr="00747AC2">
        <w:rPr>
          <w:rFonts w:ascii="Work Sans" w:hAnsi="Work Sans" w:cstheme="minorHAnsi"/>
        </w:rPr>
        <w:t xml:space="preserve">ed </w:t>
      </w:r>
      <w:r w:rsidR="00456E2D" w:rsidRPr="00747AC2">
        <w:rPr>
          <w:rFonts w:ascii="Work Sans" w:hAnsi="Work Sans" w:cstheme="minorHAnsi"/>
        </w:rPr>
        <w:t xml:space="preserve">according to the </w:t>
      </w:r>
      <w:hyperlink r:id="rId9" w:history="1">
        <w:r w:rsidR="00B27995" w:rsidRPr="00747AC2">
          <w:rPr>
            <w:rStyle w:val="Hyperlink"/>
            <w:rFonts w:ascii="Work Sans" w:hAnsi="Work Sans" w:cstheme="minorHAnsi"/>
          </w:rPr>
          <w:t xml:space="preserve">2021 </w:t>
        </w:r>
        <w:r w:rsidR="00456E2D" w:rsidRPr="00747AC2">
          <w:rPr>
            <w:rStyle w:val="Hyperlink"/>
            <w:rFonts w:ascii="Work Sans" w:hAnsi="Work Sans" w:cstheme="minorHAnsi"/>
          </w:rPr>
          <w:t>CDC STI treatment guidelines</w:t>
        </w:r>
      </w:hyperlink>
      <w:r w:rsidR="00456E2D" w:rsidRPr="00747AC2">
        <w:rPr>
          <w:rFonts w:ascii="Work Sans" w:hAnsi="Work Sans" w:cstheme="minorHAnsi"/>
        </w:rPr>
        <w:t xml:space="preserve">. </w:t>
      </w:r>
    </w:p>
    <w:p w14:paraId="03A188A2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710CC030" w14:textId="41D7026D" w:rsidR="00314595" w:rsidRPr="00973D65" w:rsidRDefault="0031459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What a</w:t>
      </w:r>
      <w:r w:rsidR="00E80E60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re </w:t>
      </w: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doxycycline’s potential side effects?</w:t>
      </w:r>
    </w:p>
    <w:p w14:paraId="29EDD8BA" w14:textId="3DFC47E6" w:rsidR="007946F7" w:rsidRPr="00747AC2" w:rsidRDefault="007946F7" w:rsidP="005605C6">
      <w:pPr>
        <w:spacing w:before="100" w:beforeAutospacing="1" w:after="100" w:afterAutospacing="1" w:line="276" w:lineRule="auto"/>
        <w:rPr>
          <w:rFonts w:ascii="Work Sans" w:eastAsia="Times New Roman" w:hAnsi="Work Sans" w:cstheme="minorHAnsi"/>
          <w:color w:val="000000"/>
        </w:rPr>
      </w:pPr>
      <w:r w:rsidRPr="00747AC2">
        <w:rPr>
          <w:rFonts w:ascii="Work Sans" w:eastAsia="Times New Roman" w:hAnsi="Work Sans" w:cstheme="minorHAnsi"/>
          <w:color w:val="000000"/>
        </w:rPr>
        <w:t xml:space="preserve">In addition to informing patients about the potential STI prevention benefits of </w:t>
      </w:r>
      <w:r w:rsidR="005013C6">
        <w:rPr>
          <w:rFonts w:ascii="Work Sans" w:eastAsia="Times New Roman" w:hAnsi="Work Sans" w:cstheme="minorHAnsi"/>
          <w:color w:val="000000"/>
        </w:rPr>
        <w:t>doxycycline as STI PEP</w:t>
      </w:r>
      <w:r w:rsidRPr="00747AC2">
        <w:rPr>
          <w:rFonts w:ascii="Work Sans" w:eastAsia="Times New Roman" w:hAnsi="Work Sans" w:cstheme="minorHAnsi"/>
          <w:color w:val="000000"/>
        </w:rPr>
        <w:t>, providers should also counsel patients about potential adverse side effects of doxycycline including phototoxicity, gastrointestinal symptoms, and more rarely esophageal ulceration.</w:t>
      </w:r>
    </w:p>
    <w:p w14:paraId="3904C37B" w14:textId="77777777" w:rsidR="003A2FFD" w:rsidRDefault="003A2FFD" w:rsidP="003A2FFD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3307AA75" w14:textId="4D5D99C1" w:rsidR="003A2FFD" w:rsidRPr="00973D65" w:rsidRDefault="00BE3FEF" w:rsidP="003A2FFD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How can I help build awareness of</w:t>
      </w:r>
      <w:r w:rsidR="003A2FFD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Doxycycline as STI PEP</w:t>
      </w:r>
      <w:r w:rsidR="003A2FFD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?</w:t>
      </w:r>
    </w:p>
    <w:p w14:paraId="2E2A4318" w14:textId="77C1B80E" w:rsidR="007946F7" w:rsidRPr="00747AC2" w:rsidRDefault="00304660" w:rsidP="005605C6">
      <w:pPr>
        <w:spacing w:line="276" w:lineRule="auto"/>
        <w:rPr>
          <w:rFonts w:ascii="Work Sans" w:hAnsi="Work Sans" w:cstheme="minorHAnsi"/>
        </w:rPr>
      </w:pPr>
      <w:r>
        <w:rPr>
          <w:rFonts w:ascii="Work Sans" w:eastAsia="Times New Roman" w:hAnsi="Work Sans" w:cstheme="minorHAnsi"/>
          <w:color w:val="000000"/>
        </w:rPr>
        <w:t xml:space="preserve">Although doxycycline is an older drug, </w:t>
      </w:r>
      <w:r w:rsidR="003A2FFD">
        <w:rPr>
          <w:rFonts w:ascii="Work Sans" w:eastAsia="Times New Roman" w:hAnsi="Work Sans" w:cstheme="minorHAnsi"/>
          <w:color w:val="000000"/>
        </w:rPr>
        <w:t>Doxycycline as STI PEP is a n</w:t>
      </w:r>
      <w:r>
        <w:rPr>
          <w:rFonts w:ascii="Work Sans" w:eastAsia="Times New Roman" w:hAnsi="Work Sans" w:cstheme="minorHAnsi"/>
          <w:color w:val="000000"/>
        </w:rPr>
        <w:t>ew intervention. Community</w:t>
      </w:r>
      <w:r w:rsidR="00B84EA7">
        <w:rPr>
          <w:rFonts w:ascii="Work Sans" w:eastAsia="Times New Roman" w:hAnsi="Work Sans" w:cstheme="minorHAnsi"/>
          <w:color w:val="000000"/>
        </w:rPr>
        <w:t xml:space="preserve"> organizations, providers, and DIS will need to take a proactive approach to informing potential patients about doxycycline as STI PEP. </w:t>
      </w:r>
      <w:r w:rsidR="00BE3FEF">
        <w:rPr>
          <w:rFonts w:ascii="Work Sans" w:eastAsia="Times New Roman" w:hAnsi="Work Sans" w:cstheme="minorHAnsi"/>
          <w:color w:val="000000"/>
        </w:rPr>
        <w:t xml:space="preserve">Consider planning outreach to community members and partner organizations to build </w:t>
      </w:r>
      <w:r w:rsidR="003B122C">
        <w:rPr>
          <w:rFonts w:ascii="Work Sans" w:eastAsia="Times New Roman" w:hAnsi="Work Sans" w:cstheme="minorHAnsi"/>
          <w:color w:val="000000"/>
        </w:rPr>
        <w:t xml:space="preserve">population awareness, and consider working with local healthcare providers and pharmacies to </w:t>
      </w:r>
      <w:r w:rsidR="00D66FE9">
        <w:rPr>
          <w:rFonts w:ascii="Work Sans" w:eastAsia="Times New Roman" w:hAnsi="Work Sans" w:cstheme="minorHAnsi"/>
          <w:color w:val="000000"/>
        </w:rPr>
        <w:t xml:space="preserve">inform them of doxycycline as STI PEP and to reduce access barriers. </w:t>
      </w:r>
    </w:p>
    <w:sectPr w:rsidR="007946F7" w:rsidRPr="00747A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5F8E" w14:textId="77777777" w:rsidR="00E65311" w:rsidRDefault="00E65311" w:rsidP="00CB3181">
      <w:pPr>
        <w:spacing w:after="0" w:line="240" w:lineRule="auto"/>
      </w:pPr>
      <w:r>
        <w:separator/>
      </w:r>
    </w:p>
  </w:endnote>
  <w:endnote w:type="continuationSeparator" w:id="0">
    <w:p w14:paraId="318BBE51" w14:textId="77777777" w:rsidR="00E65311" w:rsidRDefault="00E65311" w:rsidP="00CB3181">
      <w:pPr>
        <w:spacing w:after="0" w:line="240" w:lineRule="auto"/>
      </w:pPr>
      <w:r>
        <w:continuationSeparator/>
      </w:r>
    </w:p>
  </w:endnote>
  <w:endnote w:type="continuationNotice" w:id="1">
    <w:p w14:paraId="7D49B2C7" w14:textId="77777777" w:rsidR="00E65311" w:rsidRDefault="00E65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F7F7" w14:textId="77777777" w:rsidR="00E65311" w:rsidRDefault="00E65311" w:rsidP="00CB3181">
      <w:pPr>
        <w:spacing w:after="0" w:line="240" w:lineRule="auto"/>
      </w:pPr>
      <w:r>
        <w:separator/>
      </w:r>
    </w:p>
  </w:footnote>
  <w:footnote w:type="continuationSeparator" w:id="0">
    <w:p w14:paraId="4769F648" w14:textId="77777777" w:rsidR="00E65311" w:rsidRDefault="00E65311" w:rsidP="00CB3181">
      <w:pPr>
        <w:spacing w:after="0" w:line="240" w:lineRule="auto"/>
      </w:pPr>
      <w:r>
        <w:continuationSeparator/>
      </w:r>
    </w:p>
  </w:footnote>
  <w:footnote w:type="continuationNotice" w:id="1">
    <w:p w14:paraId="493EE2AA" w14:textId="77777777" w:rsidR="00E65311" w:rsidRDefault="00E653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42A0" w14:textId="77777777" w:rsidR="005B2527" w:rsidRDefault="005B2527" w:rsidP="005B2527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89CA82D" wp14:editId="4CEC8A62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43660" cy="530225"/>
          <wp:effectExtent l="0" t="0" r="8890" b="3175"/>
          <wp:wrapNone/>
          <wp:docPr id="257624391" name="Picture 25762439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2985A8BF" wp14:editId="07A76462">
          <wp:extent cx="1343025" cy="526449"/>
          <wp:effectExtent l="0" t="0" r="0" b="6985"/>
          <wp:docPr id="182675896" name="Picture 182675896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EBC95" w14:textId="77777777" w:rsidR="005B2527" w:rsidRDefault="005B2527" w:rsidP="005B2527">
    <w:pPr>
      <w:pStyle w:val="Header"/>
      <w:rPr>
        <w:b/>
        <w:bCs/>
        <w:noProof/>
      </w:rPr>
    </w:pPr>
  </w:p>
  <w:p w14:paraId="0B856C69" w14:textId="77777777" w:rsidR="005B2527" w:rsidRPr="00392506" w:rsidRDefault="005B2527" w:rsidP="005B2527">
    <w:pPr>
      <w:pStyle w:val="Header"/>
      <w:rPr>
        <w:b/>
        <w:bCs/>
      </w:rPr>
    </w:pPr>
  </w:p>
  <w:p w14:paraId="2E093BE6" w14:textId="03610A8C" w:rsidR="00B27995" w:rsidRPr="005B2527" w:rsidRDefault="00B27995" w:rsidP="005B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41D"/>
    <w:multiLevelType w:val="hybridMultilevel"/>
    <w:tmpl w:val="7C066C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8E88"/>
    <w:multiLevelType w:val="hybridMultilevel"/>
    <w:tmpl w:val="CB065C7E"/>
    <w:lvl w:ilvl="0" w:tplc="B1103476">
      <w:start w:val="1"/>
      <w:numFmt w:val="upperRoman"/>
      <w:lvlText w:val="%1."/>
      <w:lvlJc w:val="right"/>
      <w:pPr>
        <w:ind w:left="720" w:hanging="360"/>
      </w:pPr>
    </w:lvl>
    <w:lvl w:ilvl="1" w:tplc="EFD0BA16">
      <w:start w:val="1"/>
      <w:numFmt w:val="lowerLetter"/>
      <w:lvlText w:val="%2."/>
      <w:lvlJc w:val="left"/>
      <w:pPr>
        <w:ind w:left="1440" w:hanging="360"/>
      </w:pPr>
    </w:lvl>
    <w:lvl w:ilvl="2" w:tplc="844E0D8A">
      <w:start w:val="1"/>
      <w:numFmt w:val="lowerRoman"/>
      <w:lvlText w:val="%3."/>
      <w:lvlJc w:val="right"/>
      <w:pPr>
        <w:ind w:left="2160" w:hanging="180"/>
      </w:pPr>
    </w:lvl>
    <w:lvl w:ilvl="3" w:tplc="E95E7A8C">
      <w:start w:val="1"/>
      <w:numFmt w:val="decimal"/>
      <w:lvlText w:val="%4."/>
      <w:lvlJc w:val="left"/>
      <w:pPr>
        <w:ind w:left="2880" w:hanging="360"/>
      </w:pPr>
    </w:lvl>
    <w:lvl w:ilvl="4" w:tplc="F22E924A">
      <w:start w:val="1"/>
      <w:numFmt w:val="lowerLetter"/>
      <w:lvlText w:val="%5."/>
      <w:lvlJc w:val="left"/>
      <w:pPr>
        <w:ind w:left="3600" w:hanging="360"/>
      </w:pPr>
    </w:lvl>
    <w:lvl w:ilvl="5" w:tplc="89B08520">
      <w:start w:val="1"/>
      <w:numFmt w:val="lowerRoman"/>
      <w:lvlText w:val="%6."/>
      <w:lvlJc w:val="right"/>
      <w:pPr>
        <w:ind w:left="4320" w:hanging="180"/>
      </w:pPr>
    </w:lvl>
    <w:lvl w:ilvl="6" w:tplc="9C1AF970">
      <w:start w:val="1"/>
      <w:numFmt w:val="decimal"/>
      <w:lvlText w:val="%7."/>
      <w:lvlJc w:val="left"/>
      <w:pPr>
        <w:ind w:left="5040" w:hanging="360"/>
      </w:pPr>
    </w:lvl>
    <w:lvl w:ilvl="7" w:tplc="F59E7346">
      <w:start w:val="1"/>
      <w:numFmt w:val="lowerLetter"/>
      <w:lvlText w:val="%8."/>
      <w:lvlJc w:val="left"/>
      <w:pPr>
        <w:ind w:left="5760" w:hanging="360"/>
      </w:pPr>
    </w:lvl>
    <w:lvl w:ilvl="8" w:tplc="DF1CF4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226E"/>
    <w:multiLevelType w:val="multilevel"/>
    <w:tmpl w:val="35B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800"/>
    <w:multiLevelType w:val="hybridMultilevel"/>
    <w:tmpl w:val="A01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3821">
    <w:abstractNumId w:val="1"/>
  </w:num>
  <w:num w:numId="2" w16cid:durableId="1725179537">
    <w:abstractNumId w:val="0"/>
  </w:num>
  <w:num w:numId="3" w16cid:durableId="163982521">
    <w:abstractNumId w:val="2"/>
  </w:num>
  <w:num w:numId="4" w16cid:durableId="27093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F"/>
    <w:rsid w:val="0001421F"/>
    <w:rsid w:val="00041FCB"/>
    <w:rsid w:val="000A3CE9"/>
    <w:rsid w:val="000B228F"/>
    <w:rsid w:val="000E59F8"/>
    <w:rsid w:val="001718DF"/>
    <w:rsid w:val="001D33BC"/>
    <w:rsid w:val="001D34E0"/>
    <w:rsid w:val="00201F93"/>
    <w:rsid w:val="002B1A1B"/>
    <w:rsid w:val="00304660"/>
    <w:rsid w:val="00314595"/>
    <w:rsid w:val="00371309"/>
    <w:rsid w:val="003A14EE"/>
    <w:rsid w:val="003A2FFD"/>
    <w:rsid w:val="003B043C"/>
    <w:rsid w:val="003B122C"/>
    <w:rsid w:val="003C53D6"/>
    <w:rsid w:val="004257E0"/>
    <w:rsid w:val="00450503"/>
    <w:rsid w:val="00456E2D"/>
    <w:rsid w:val="004977B0"/>
    <w:rsid w:val="004D24DD"/>
    <w:rsid w:val="005003E6"/>
    <w:rsid w:val="005013C6"/>
    <w:rsid w:val="00526649"/>
    <w:rsid w:val="00541451"/>
    <w:rsid w:val="005605C6"/>
    <w:rsid w:val="005B2527"/>
    <w:rsid w:val="005E465C"/>
    <w:rsid w:val="00625CA8"/>
    <w:rsid w:val="006464A0"/>
    <w:rsid w:val="00647204"/>
    <w:rsid w:val="006519BC"/>
    <w:rsid w:val="00655682"/>
    <w:rsid w:val="006B27BB"/>
    <w:rsid w:val="00747AC2"/>
    <w:rsid w:val="00763DBD"/>
    <w:rsid w:val="007934E7"/>
    <w:rsid w:val="007946F7"/>
    <w:rsid w:val="00794DAF"/>
    <w:rsid w:val="00833EB1"/>
    <w:rsid w:val="00872BFD"/>
    <w:rsid w:val="00877E9B"/>
    <w:rsid w:val="00886B0D"/>
    <w:rsid w:val="008A7D6C"/>
    <w:rsid w:val="008C3478"/>
    <w:rsid w:val="008C7187"/>
    <w:rsid w:val="008D2928"/>
    <w:rsid w:val="0093463A"/>
    <w:rsid w:val="009479C3"/>
    <w:rsid w:val="00966D39"/>
    <w:rsid w:val="00973D65"/>
    <w:rsid w:val="009E4308"/>
    <w:rsid w:val="00A205C2"/>
    <w:rsid w:val="00A93B44"/>
    <w:rsid w:val="00AA2726"/>
    <w:rsid w:val="00AB2EE5"/>
    <w:rsid w:val="00B071BD"/>
    <w:rsid w:val="00B17837"/>
    <w:rsid w:val="00B27995"/>
    <w:rsid w:val="00B55677"/>
    <w:rsid w:val="00B84EA7"/>
    <w:rsid w:val="00BE3FEF"/>
    <w:rsid w:val="00BF75C1"/>
    <w:rsid w:val="00C22936"/>
    <w:rsid w:val="00C47B80"/>
    <w:rsid w:val="00C731E0"/>
    <w:rsid w:val="00CB3181"/>
    <w:rsid w:val="00CE4B02"/>
    <w:rsid w:val="00D546A2"/>
    <w:rsid w:val="00D66FE9"/>
    <w:rsid w:val="00D73BDD"/>
    <w:rsid w:val="00DF0CAA"/>
    <w:rsid w:val="00E231AF"/>
    <w:rsid w:val="00E65311"/>
    <w:rsid w:val="00E80E60"/>
    <w:rsid w:val="00E96688"/>
    <w:rsid w:val="00EA47E6"/>
    <w:rsid w:val="00EE645B"/>
    <w:rsid w:val="00EF1A0F"/>
    <w:rsid w:val="00F40516"/>
    <w:rsid w:val="00FC32E2"/>
    <w:rsid w:val="00FC3417"/>
    <w:rsid w:val="00FD10E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C1F5"/>
  <w15:chartTrackingRefBased/>
  <w15:docId w15:val="{02430A61-1F55-4F8C-8CFA-057AA53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81"/>
  </w:style>
  <w:style w:type="paragraph" w:styleId="Footer">
    <w:name w:val="footer"/>
    <w:basedOn w:val="Normal"/>
    <w:link w:val="Foot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81"/>
  </w:style>
  <w:style w:type="paragraph" w:styleId="ListParagraph">
    <w:name w:val="List Paragraph"/>
    <w:basedOn w:val="Normal"/>
    <w:uiPriority w:val="34"/>
    <w:qFormat/>
    <w:rsid w:val="00EE6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5B"/>
    <w:rPr>
      <w:color w:val="19A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2211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2211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treatment-guidelines/defaul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2632</Characters>
  <Application>Microsoft Office Word</Application>
  <DocSecurity>0</DocSecurity>
  <Lines>47</Lines>
  <Paragraphs>19</Paragraphs>
  <ScaleCrop>false</ScaleCrop>
  <Company/>
  <LinksUpToDate>false</LinksUpToDate>
  <CharactersWithSpaces>3090</CharactersWithSpaces>
  <SharedDoc>false</SharedDoc>
  <HLinks>
    <vt:vector size="18" baseType="variant"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https://www.cdc.gov/std/treatment-guidelines/default.htm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Mahn</dc:creator>
  <cp:keywords/>
  <dc:description/>
  <cp:lastModifiedBy>Elizabeth Finley</cp:lastModifiedBy>
  <cp:revision>18</cp:revision>
  <dcterms:created xsi:type="dcterms:W3CDTF">2023-07-14T17:10:00Z</dcterms:created>
  <dcterms:modified xsi:type="dcterms:W3CDTF">2023-07-14T17:29:00Z</dcterms:modified>
</cp:coreProperties>
</file>