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ED0A" w14:textId="4ECDCACD" w:rsidR="002C3D8C" w:rsidRPr="00985B51" w:rsidRDefault="00985B51" w:rsidP="00985B51">
      <w:pPr>
        <w:pStyle w:val="NormalWeb"/>
        <w:shd w:val="clear" w:color="auto" w:fill="FFFFFF"/>
        <w:spacing w:before="0" w:beforeAutospacing="0" w:line="276" w:lineRule="auto"/>
        <w:jc w:val="center"/>
        <w:rPr>
          <w:rFonts w:ascii="Work Sans" w:hAnsi="Work Sans" w:cs="Open Sans"/>
          <w:b/>
          <w:bCs/>
          <w:color w:val="294581" w:themeColor="accent1"/>
          <w:sz w:val="28"/>
          <w:szCs w:val="28"/>
        </w:rPr>
      </w:pPr>
      <w:r w:rsidRPr="00985B51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 xml:space="preserve">Quick Start Guide for </w:t>
      </w:r>
      <w:r w:rsidR="0048492A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>Doxycycline as STI PEP</w:t>
      </w:r>
    </w:p>
    <w:p w14:paraId="24820AC0" w14:textId="17F4E5FC" w:rsidR="002C3D8C" w:rsidRPr="00DC61DF" w:rsidRDefault="00DC61DF" w:rsidP="008118C9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color w:val="000000"/>
          <w:sz w:val="22"/>
          <w:szCs w:val="22"/>
        </w:rPr>
      </w:pPr>
      <w:r>
        <w:rPr>
          <w:rFonts w:ascii="Work Sans" w:hAnsi="Work Sans" w:cs="Open Sans"/>
          <w:color w:val="000000"/>
          <w:sz w:val="22"/>
          <w:szCs w:val="22"/>
        </w:rPr>
        <w:t xml:space="preserve">Use this Quick Start Guide to </w:t>
      </w:r>
      <w:r w:rsidR="00772749">
        <w:rPr>
          <w:rFonts w:ascii="Work Sans" w:hAnsi="Work Sans" w:cs="Open Sans"/>
          <w:color w:val="000000"/>
          <w:sz w:val="22"/>
          <w:szCs w:val="22"/>
        </w:rPr>
        <w:t xml:space="preserve">navigate </w:t>
      </w:r>
      <w:r w:rsidR="00934BB4">
        <w:rPr>
          <w:rFonts w:ascii="Work Sans" w:hAnsi="Work Sans" w:cs="Open Sans"/>
          <w:color w:val="000000"/>
          <w:sz w:val="22"/>
          <w:szCs w:val="22"/>
        </w:rPr>
        <w:t xml:space="preserve">considerations for offering doxycycline as STI PEP in your community. </w:t>
      </w:r>
    </w:p>
    <w:p w14:paraId="62AA5A52" w14:textId="75B30E34" w:rsidR="00546146" w:rsidRDefault="00546146" w:rsidP="008118C9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294581" w:themeColor="accent1"/>
        </w:rPr>
      </w:pPr>
      <w:r w:rsidRPr="007502C1">
        <w:rPr>
          <w:rFonts w:ascii="Work Sans" w:hAnsi="Work Sans" w:cs="Open Sans"/>
          <w:b/>
          <w:bCs/>
          <w:color w:val="294581" w:themeColor="accent1"/>
        </w:rPr>
        <w:t xml:space="preserve">Workflow Integration of </w:t>
      </w:r>
      <w:r w:rsidR="0048492A">
        <w:rPr>
          <w:rFonts w:ascii="Work Sans" w:hAnsi="Work Sans" w:cs="Open Sans"/>
          <w:b/>
          <w:bCs/>
          <w:color w:val="294581" w:themeColor="accent1"/>
        </w:rPr>
        <w:t>Doxycycline as STI PEP</w:t>
      </w:r>
    </w:p>
    <w:p w14:paraId="16129491" w14:textId="0C098FC7" w:rsidR="00BC555E" w:rsidRPr="00BC555E" w:rsidRDefault="00BE7716" w:rsidP="09217E72">
      <w:pPr>
        <w:pStyle w:val="NormalWeb"/>
        <w:shd w:val="clear" w:color="auto" w:fill="FFFFFF" w:themeFill="background1"/>
        <w:spacing w:before="0" w:beforeAutospacing="0" w:line="276" w:lineRule="auto"/>
        <w:rPr>
          <w:rFonts w:ascii="Work Sans" w:hAnsi="Work Sans" w:cs="Open Sans"/>
          <w:sz w:val="22"/>
          <w:szCs w:val="22"/>
        </w:rPr>
      </w:pPr>
      <w:r>
        <w:rPr>
          <w:rFonts w:ascii="Work Sans" w:hAnsi="Work Sans" w:cs="Open Sans"/>
          <w:sz w:val="22"/>
          <w:szCs w:val="22"/>
        </w:rPr>
        <w:t xml:space="preserve">Consider </w:t>
      </w:r>
      <w:r w:rsidR="00C860BA">
        <w:rPr>
          <w:rFonts w:ascii="Work Sans" w:hAnsi="Work Sans" w:cs="Open Sans"/>
          <w:sz w:val="22"/>
          <w:szCs w:val="22"/>
        </w:rPr>
        <w:t xml:space="preserve">building </w:t>
      </w:r>
      <w:r w:rsidR="7DDFC7E9" w:rsidRPr="7DDFC7E9">
        <w:rPr>
          <w:rFonts w:ascii="Work Sans" w:hAnsi="Work Sans" w:cs="Open Sans"/>
          <w:sz w:val="22"/>
          <w:szCs w:val="22"/>
        </w:rPr>
        <w:t xml:space="preserve">in </w:t>
      </w:r>
      <w:r w:rsidR="00C860BA">
        <w:rPr>
          <w:rFonts w:ascii="Work Sans" w:hAnsi="Work Sans" w:cs="Open Sans"/>
          <w:sz w:val="22"/>
          <w:szCs w:val="22"/>
        </w:rPr>
        <w:t>the following internal resources</w:t>
      </w:r>
      <w:r>
        <w:rPr>
          <w:rFonts w:ascii="Work Sans" w:hAnsi="Work Sans" w:cs="Open Sans"/>
          <w:sz w:val="22"/>
          <w:szCs w:val="22"/>
        </w:rPr>
        <w:t xml:space="preserve"> to </w:t>
      </w:r>
      <w:proofErr w:type="gramStart"/>
      <w:r w:rsidR="00BA5E46">
        <w:rPr>
          <w:rFonts w:ascii="Work Sans" w:hAnsi="Work Sans" w:cs="Open Sans"/>
          <w:sz w:val="22"/>
          <w:szCs w:val="22"/>
        </w:rPr>
        <w:t>routinely</w:t>
      </w:r>
      <w:r w:rsidR="00C860BA">
        <w:rPr>
          <w:rFonts w:ascii="Work Sans" w:hAnsi="Work Sans" w:cs="Open Sans"/>
          <w:sz w:val="22"/>
          <w:szCs w:val="22"/>
        </w:rPr>
        <w:t xml:space="preserve"> and equitably</w:t>
      </w:r>
      <w:r w:rsidR="00BA5E46">
        <w:rPr>
          <w:rFonts w:ascii="Work Sans" w:hAnsi="Work Sans" w:cs="Open Sans"/>
          <w:sz w:val="22"/>
          <w:szCs w:val="22"/>
        </w:rPr>
        <w:t xml:space="preserve"> offer </w:t>
      </w:r>
      <w:r w:rsidR="0048492A">
        <w:rPr>
          <w:rFonts w:ascii="Work Sans" w:hAnsi="Work Sans" w:cs="Open Sans"/>
          <w:sz w:val="22"/>
          <w:szCs w:val="22"/>
        </w:rPr>
        <w:t>doxycycline</w:t>
      </w:r>
      <w:proofErr w:type="gramEnd"/>
      <w:r w:rsidR="0048492A">
        <w:rPr>
          <w:rFonts w:ascii="Work Sans" w:hAnsi="Work Sans" w:cs="Open Sans"/>
          <w:sz w:val="22"/>
          <w:szCs w:val="22"/>
        </w:rPr>
        <w:t xml:space="preserve"> as STI PEP</w:t>
      </w:r>
      <w:r w:rsidR="00C860BA">
        <w:rPr>
          <w:rFonts w:ascii="Work Sans" w:hAnsi="Work Sans" w:cs="Open Sans"/>
          <w:sz w:val="22"/>
          <w:szCs w:val="22"/>
        </w:rPr>
        <w:t xml:space="preserve">: </w:t>
      </w:r>
    </w:p>
    <w:p w14:paraId="12BAD96A" w14:textId="7143EE23" w:rsidR="009372CA" w:rsidRPr="007502C1" w:rsidRDefault="00546146" w:rsidP="009372CA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>Protocols/Standard of Procedures (SOPs)</w:t>
      </w:r>
    </w:p>
    <w:p w14:paraId="10F0500F" w14:textId="77777777" w:rsidR="00546146" w:rsidRPr="008118C9" w:rsidRDefault="00546146" w:rsidP="008118C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 xml:space="preserve">Administrative capacity </w:t>
      </w:r>
    </w:p>
    <w:p w14:paraId="6E3C12A8" w14:textId="3F224B9E" w:rsidR="00546146" w:rsidRPr="008118C9" w:rsidRDefault="00EA60BF" w:rsidP="008118C9">
      <w:pPr>
        <w:pStyle w:val="NormalWeb"/>
        <w:numPr>
          <w:ilvl w:val="1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>
        <w:rPr>
          <w:rFonts w:ascii="Work Sans" w:hAnsi="Work Sans" w:cs="Open Sans"/>
          <w:color w:val="000000"/>
          <w:sz w:val="22"/>
          <w:szCs w:val="22"/>
        </w:rPr>
        <w:t xml:space="preserve">Offer in-service training </w:t>
      </w:r>
      <w:r w:rsidR="00207190">
        <w:rPr>
          <w:rFonts w:ascii="Work Sans" w:hAnsi="Work Sans" w:cs="Open Sans"/>
          <w:color w:val="000000"/>
          <w:sz w:val="22"/>
          <w:szCs w:val="22"/>
        </w:rPr>
        <w:t>to build p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>rovider</w:t>
      </w:r>
      <w:r w:rsidR="00207190">
        <w:rPr>
          <w:rFonts w:ascii="Work Sans" w:hAnsi="Work Sans" w:cs="Open Sans"/>
          <w:color w:val="000000"/>
          <w:sz w:val="22"/>
          <w:szCs w:val="22"/>
        </w:rPr>
        <w:t xml:space="preserve"> and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staff </w:t>
      </w:r>
      <w:r w:rsidR="00207190">
        <w:rPr>
          <w:rFonts w:ascii="Work Sans" w:hAnsi="Work Sans" w:cs="Open Sans"/>
          <w:color w:val="000000"/>
          <w:sz w:val="22"/>
          <w:szCs w:val="22"/>
        </w:rPr>
        <w:t xml:space="preserve">awareness and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>buy-in</w:t>
      </w:r>
    </w:p>
    <w:p w14:paraId="11A4B49D" w14:textId="1E51B2DB" w:rsidR="00546146" w:rsidRPr="008118C9" w:rsidRDefault="00546146" w:rsidP="008118C9">
      <w:pPr>
        <w:pStyle w:val="NormalWeb"/>
        <w:numPr>
          <w:ilvl w:val="1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>Optimize</w:t>
      </w:r>
      <w:r w:rsidR="00207190">
        <w:rPr>
          <w:rFonts w:ascii="Work Sans" w:hAnsi="Work Sans" w:cs="Open Sans"/>
          <w:color w:val="000000"/>
          <w:sz w:val="22"/>
          <w:szCs w:val="22"/>
        </w:rPr>
        <w:t xml:space="preserve"> your</w:t>
      </w:r>
      <w:r w:rsidRPr="008118C9">
        <w:rPr>
          <w:rFonts w:ascii="Work Sans" w:hAnsi="Work Sans" w:cs="Open Sans"/>
          <w:color w:val="000000"/>
          <w:sz w:val="22"/>
          <w:szCs w:val="22"/>
        </w:rPr>
        <w:t xml:space="preserve"> Electronic Health Record (EHR)</w:t>
      </w:r>
      <w:r w:rsidR="00207190">
        <w:rPr>
          <w:rFonts w:ascii="Work Sans" w:hAnsi="Work Sans" w:cs="Open Sans"/>
          <w:color w:val="000000"/>
          <w:sz w:val="22"/>
          <w:szCs w:val="22"/>
        </w:rPr>
        <w:t xml:space="preserve"> </w:t>
      </w:r>
      <w:proofErr w:type="gramStart"/>
      <w:r w:rsidR="00207190">
        <w:rPr>
          <w:rFonts w:ascii="Work Sans" w:hAnsi="Work Sans" w:cs="Open Sans"/>
          <w:color w:val="000000"/>
          <w:sz w:val="22"/>
          <w:szCs w:val="22"/>
        </w:rPr>
        <w:t>system</w:t>
      </w:r>
      <w:proofErr w:type="gramEnd"/>
      <w:r w:rsidR="00207190">
        <w:rPr>
          <w:rFonts w:ascii="Work Sans" w:hAnsi="Work Sans" w:cs="Open Sans"/>
          <w:color w:val="000000"/>
          <w:sz w:val="22"/>
          <w:szCs w:val="22"/>
        </w:rPr>
        <w:t xml:space="preserve"> </w:t>
      </w:r>
    </w:p>
    <w:p w14:paraId="3D0A4FB5" w14:textId="04BBE8AB" w:rsidR="003D1146" w:rsidRPr="007502C1" w:rsidRDefault="003D1146" w:rsidP="007502C1">
      <w:pPr>
        <w:pStyle w:val="NormalWeb"/>
        <w:numPr>
          <w:ilvl w:val="1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>Integrat</w:t>
      </w:r>
      <w:r w:rsidR="00A10CD6">
        <w:rPr>
          <w:rFonts w:ascii="Work Sans" w:hAnsi="Work Sans" w:cs="Open Sans"/>
          <w:color w:val="000000"/>
          <w:sz w:val="22"/>
          <w:szCs w:val="22"/>
        </w:rPr>
        <w:t xml:space="preserve">e proactive counseling on </w:t>
      </w:r>
      <w:r w:rsidR="0048492A">
        <w:rPr>
          <w:rFonts w:ascii="Work Sans" w:hAnsi="Work Sans" w:cs="Open Sans"/>
          <w:color w:val="000000"/>
          <w:sz w:val="22"/>
          <w:szCs w:val="22"/>
        </w:rPr>
        <w:t>doxycycline as STI PEP</w:t>
      </w:r>
      <w:r w:rsidR="00A10CD6">
        <w:rPr>
          <w:rFonts w:ascii="Work Sans" w:hAnsi="Work Sans" w:cs="Open Sans"/>
          <w:color w:val="000000"/>
          <w:sz w:val="22"/>
          <w:szCs w:val="22"/>
        </w:rPr>
        <w:t xml:space="preserve"> </w:t>
      </w:r>
      <w:r w:rsidR="005F2215">
        <w:rPr>
          <w:rFonts w:ascii="Work Sans" w:hAnsi="Work Sans" w:cs="Open Sans"/>
          <w:color w:val="000000"/>
          <w:sz w:val="22"/>
          <w:szCs w:val="22"/>
        </w:rPr>
        <w:t xml:space="preserve">during routine care visits, including </w:t>
      </w:r>
      <w:proofErr w:type="spellStart"/>
      <w:r w:rsidR="00A10CD6">
        <w:rPr>
          <w:rFonts w:ascii="Work Sans" w:hAnsi="Work Sans" w:cs="Open Sans"/>
          <w:color w:val="000000"/>
          <w:sz w:val="22"/>
          <w:szCs w:val="22"/>
        </w:rPr>
        <w:t>PrEP</w:t>
      </w:r>
      <w:proofErr w:type="spellEnd"/>
      <w:r w:rsidR="00A10CD6">
        <w:rPr>
          <w:rFonts w:ascii="Work Sans" w:hAnsi="Work Sans" w:cs="Open Sans"/>
          <w:color w:val="000000"/>
          <w:sz w:val="22"/>
          <w:szCs w:val="22"/>
        </w:rPr>
        <w:t xml:space="preserve"> visits</w:t>
      </w:r>
      <w:r w:rsidR="00083FFA">
        <w:rPr>
          <w:rFonts w:ascii="Work Sans" w:hAnsi="Work Sans" w:cs="Open Sans"/>
          <w:color w:val="000000"/>
          <w:sz w:val="22"/>
          <w:szCs w:val="22"/>
        </w:rPr>
        <w:t>, HIV care visits,</w:t>
      </w:r>
      <w:r w:rsidR="00A10CD6">
        <w:rPr>
          <w:rFonts w:ascii="Work Sans" w:hAnsi="Work Sans" w:cs="Open Sans"/>
          <w:color w:val="000000"/>
          <w:sz w:val="22"/>
          <w:szCs w:val="22"/>
        </w:rPr>
        <w:t xml:space="preserve"> and </w:t>
      </w:r>
      <w:r w:rsidR="00083FFA">
        <w:rPr>
          <w:rFonts w:ascii="Work Sans" w:hAnsi="Work Sans" w:cs="Open Sans"/>
          <w:color w:val="000000"/>
          <w:sz w:val="22"/>
          <w:szCs w:val="22"/>
        </w:rPr>
        <w:t xml:space="preserve">STI visits. </w:t>
      </w:r>
    </w:p>
    <w:p w14:paraId="76B1AEFE" w14:textId="77777777" w:rsidR="00546146" w:rsidRPr="008118C9" w:rsidRDefault="00546146" w:rsidP="008118C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>Medication provision</w:t>
      </w:r>
    </w:p>
    <w:p w14:paraId="19933CD0" w14:textId="30F6DC7B" w:rsidR="00546146" w:rsidRPr="008118C9" w:rsidRDefault="00B94FBF" w:rsidP="008118C9">
      <w:pPr>
        <w:pStyle w:val="NormalWeb"/>
        <w:numPr>
          <w:ilvl w:val="1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>
        <w:rPr>
          <w:rFonts w:ascii="Work Sans" w:hAnsi="Work Sans" w:cs="Open Sans"/>
          <w:color w:val="000000"/>
          <w:sz w:val="22"/>
          <w:szCs w:val="22"/>
        </w:rPr>
        <w:t xml:space="preserve">Determine </w:t>
      </w:r>
      <w:r w:rsidR="00E57124">
        <w:rPr>
          <w:rFonts w:ascii="Work Sans" w:hAnsi="Work Sans" w:cs="Open Sans"/>
          <w:color w:val="000000"/>
          <w:sz w:val="22"/>
          <w:szCs w:val="22"/>
        </w:rPr>
        <w:t xml:space="preserve">what prescriptions you will </w:t>
      </w:r>
      <w:r w:rsidR="002E1123">
        <w:rPr>
          <w:rFonts w:ascii="Work Sans" w:hAnsi="Work Sans" w:cs="Open Sans"/>
          <w:color w:val="000000"/>
          <w:sz w:val="22"/>
          <w:szCs w:val="22"/>
        </w:rPr>
        <w:t xml:space="preserve">provide </w:t>
      </w:r>
      <w:r w:rsidR="00E57124">
        <w:rPr>
          <w:rFonts w:ascii="Work Sans" w:hAnsi="Work Sans" w:cs="Open Sans"/>
          <w:color w:val="000000"/>
          <w:sz w:val="22"/>
          <w:szCs w:val="22"/>
        </w:rPr>
        <w:t xml:space="preserve">for </w:t>
      </w:r>
      <w:r w:rsidR="0048492A">
        <w:rPr>
          <w:rFonts w:ascii="Work Sans" w:hAnsi="Work Sans" w:cs="Open Sans"/>
          <w:color w:val="000000"/>
          <w:sz w:val="22"/>
          <w:szCs w:val="22"/>
        </w:rPr>
        <w:t>doxycycline as STI PEP</w:t>
      </w:r>
    </w:p>
    <w:p w14:paraId="4090B8D3" w14:textId="667DD8E8" w:rsidR="00546146" w:rsidRPr="008118C9" w:rsidRDefault="002E1123" w:rsidP="008118C9">
      <w:pPr>
        <w:pStyle w:val="NormalWeb"/>
        <w:numPr>
          <w:ilvl w:val="1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>
        <w:rPr>
          <w:rFonts w:ascii="Work Sans" w:hAnsi="Work Sans" w:cs="Open Sans"/>
          <w:color w:val="000000"/>
          <w:sz w:val="22"/>
          <w:szCs w:val="22"/>
        </w:rPr>
        <w:t>Reach out to l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>ocal pharmac</w:t>
      </w:r>
      <w:r>
        <w:rPr>
          <w:rFonts w:ascii="Work Sans" w:hAnsi="Work Sans" w:cs="Open Sans"/>
          <w:color w:val="000000"/>
          <w:sz w:val="22"/>
          <w:szCs w:val="22"/>
        </w:rPr>
        <w:t>ies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 about </w:t>
      </w:r>
      <w:r w:rsidR="0048492A">
        <w:rPr>
          <w:rFonts w:ascii="Work Sans" w:hAnsi="Work Sans" w:cs="Open Sans"/>
          <w:color w:val="000000"/>
          <w:sz w:val="22"/>
          <w:szCs w:val="22"/>
        </w:rPr>
        <w:t>doxycycline as STI PEP</w:t>
      </w:r>
      <w:r>
        <w:rPr>
          <w:rFonts w:ascii="Work Sans" w:hAnsi="Work Sans" w:cs="Open Sans"/>
          <w:color w:val="000000"/>
          <w:sz w:val="22"/>
          <w:szCs w:val="22"/>
        </w:rPr>
        <w:t>. See</w:t>
      </w:r>
      <w:r w:rsidR="0014164E">
        <w:rPr>
          <w:rFonts w:ascii="Work Sans" w:hAnsi="Work Sans" w:cs="Open Sans"/>
          <w:color w:val="000000"/>
          <w:sz w:val="22"/>
          <w:szCs w:val="22"/>
        </w:rPr>
        <w:t xml:space="preserve"> the</w:t>
      </w:r>
      <w:r>
        <w:rPr>
          <w:rFonts w:ascii="Work Sans" w:hAnsi="Work Sans" w:cs="Open Sans"/>
          <w:color w:val="000000"/>
          <w:sz w:val="22"/>
          <w:szCs w:val="22"/>
        </w:rPr>
        <w:t xml:space="preserve"> </w:t>
      </w:r>
      <w:r w:rsidR="0048492A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>Doxycycline as STI PEP</w:t>
      </w:r>
      <w:r w:rsidR="00546146" w:rsidRPr="00196764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 Quick Reference Guide for Pharmacists</w:t>
      </w:r>
      <w:r w:rsidR="00546146" w:rsidRPr="00196764">
        <w:rPr>
          <w:rFonts w:ascii="Work Sans" w:hAnsi="Work Sans" w:cs="Open Sans"/>
          <w:color w:val="294581" w:themeColor="accent1"/>
          <w:sz w:val="22"/>
          <w:szCs w:val="22"/>
        </w:rPr>
        <w:t xml:space="preserve"> </w:t>
      </w:r>
      <w:r w:rsidR="00546146" w:rsidRPr="00196764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>and Providers and Pharmacy Letter</w:t>
      </w:r>
      <w:r>
        <w:rPr>
          <w:rFonts w:ascii="Work Sans" w:hAnsi="Work Sans" w:cs="Open Sans"/>
          <w:color w:val="000000"/>
          <w:sz w:val="22"/>
          <w:szCs w:val="22"/>
        </w:rPr>
        <w:t xml:space="preserve"> in this toolkit. </w:t>
      </w:r>
    </w:p>
    <w:p w14:paraId="70615FEF" w14:textId="3F0EB99F" w:rsidR="00546146" w:rsidRPr="008118C9" w:rsidRDefault="002E1123" w:rsidP="008118C9">
      <w:pPr>
        <w:pStyle w:val="NormalWeb"/>
        <w:numPr>
          <w:ilvl w:val="1"/>
          <w:numId w:val="2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>
        <w:rPr>
          <w:rFonts w:ascii="Work Sans" w:hAnsi="Work Sans" w:cs="Open Sans"/>
          <w:color w:val="000000"/>
          <w:sz w:val="22"/>
          <w:szCs w:val="22"/>
        </w:rPr>
        <w:t>Understand the benefits of d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oxycycline </w:t>
      </w:r>
      <w:r>
        <w:rPr>
          <w:rFonts w:ascii="Work Sans" w:hAnsi="Work Sans" w:cs="Open Sans"/>
          <w:color w:val="000000"/>
          <w:sz w:val="22"/>
          <w:szCs w:val="22"/>
        </w:rPr>
        <w:t xml:space="preserve">as a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>relatively inexpensive</w:t>
      </w:r>
      <w:r>
        <w:rPr>
          <w:rFonts w:ascii="Work Sans" w:hAnsi="Work Sans" w:cs="Open Sans"/>
          <w:color w:val="000000"/>
          <w:sz w:val="22"/>
          <w:szCs w:val="22"/>
        </w:rPr>
        <w:t xml:space="preserve"> drug, - approximately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$.06 per each 100 mg pill under 340b and $.08/pill with a </w:t>
      </w:r>
      <w:proofErr w:type="spellStart"/>
      <w:r w:rsidR="00546146" w:rsidRPr="008118C9">
        <w:rPr>
          <w:rFonts w:ascii="Work Sans" w:hAnsi="Work Sans" w:cs="Open Sans"/>
          <w:color w:val="000000"/>
          <w:sz w:val="22"/>
          <w:szCs w:val="22"/>
        </w:rPr>
        <w:t>GoodRX</w:t>
      </w:r>
      <w:proofErr w:type="spellEnd"/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 card</w:t>
      </w:r>
      <w:r>
        <w:rPr>
          <w:rFonts w:ascii="Work Sans" w:hAnsi="Work Sans" w:cs="Open Sans"/>
          <w:color w:val="000000"/>
          <w:sz w:val="22"/>
          <w:szCs w:val="22"/>
        </w:rPr>
        <w:t xml:space="preserve"> – but remember that patients may still need information on how to access doxycycline at lower costs and on how to access it.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 </w:t>
      </w:r>
    </w:p>
    <w:p w14:paraId="708660CB" w14:textId="1B3F8F19" w:rsidR="00A52818" w:rsidRPr="007502C1" w:rsidRDefault="00A52818" w:rsidP="008118C9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294581" w:themeColor="accent1"/>
        </w:rPr>
      </w:pPr>
      <w:r w:rsidRPr="007502C1">
        <w:rPr>
          <w:rFonts w:ascii="Work Sans" w:hAnsi="Work Sans" w:cs="Open Sans"/>
          <w:b/>
          <w:bCs/>
          <w:color w:val="294581" w:themeColor="accent1"/>
        </w:rPr>
        <w:t>Community Input</w:t>
      </w:r>
    </w:p>
    <w:p w14:paraId="7CA0BD05" w14:textId="2838A14C" w:rsidR="00A52818" w:rsidRPr="008118C9" w:rsidRDefault="005341CE" w:rsidP="00EC2466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Community </w:t>
      </w:r>
      <w:r w:rsidR="009A7BC0" w:rsidRPr="009A7BC0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Planning: </w:t>
      </w:r>
      <w:r w:rsidR="00A52818" w:rsidRPr="008118C9">
        <w:rPr>
          <w:rFonts w:ascii="Work Sans" w:hAnsi="Work Sans" w:cs="Open Sans"/>
          <w:color w:val="000000"/>
          <w:sz w:val="22"/>
          <w:szCs w:val="22"/>
        </w:rPr>
        <w:t xml:space="preserve">Do not wait until the program is implemented to engage the community! Engage them in program planning, messaging, </w:t>
      </w:r>
      <w:r w:rsidR="002E1123">
        <w:rPr>
          <w:rFonts w:ascii="Work Sans" w:hAnsi="Work Sans" w:cs="Open Sans"/>
          <w:color w:val="000000"/>
          <w:sz w:val="22"/>
          <w:szCs w:val="22"/>
        </w:rPr>
        <w:t xml:space="preserve">and workflows. </w:t>
      </w:r>
    </w:p>
    <w:p w14:paraId="32A682B2" w14:textId="10D8444F" w:rsidR="002B6166" w:rsidRPr="008118C9" w:rsidRDefault="005341CE" w:rsidP="00EC2466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5341CE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Community Guidance: </w:t>
      </w:r>
      <w:r w:rsidR="002B6166" w:rsidRPr="008118C9">
        <w:rPr>
          <w:rFonts w:ascii="Work Sans" w:hAnsi="Work Sans" w:cs="Open Sans"/>
          <w:color w:val="000000"/>
          <w:sz w:val="22"/>
          <w:szCs w:val="22"/>
        </w:rPr>
        <w:t xml:space="preserve">Create a </w:t>
      </w:r>
      <w:r w:rsidR="0048492A">
        <w:rPr>
          <w:rFonts w:ascii="Work Sans" w:hAnsi="Work Sans" w:cs="Open Sans"/>
          <w:color w:val="000000"/>
          <w:sz w:val="22"/>
          <w:szCs w:val="22"/>
        </w:rPr>
        <w:t>doxycycline as STI PEP</w:t>
      </w:r>
      <w:r w:rsidR="002B6166" w:rsidRPr="008118C9">
        <w:rPr>
          <w:rFonts w:ascii="Work Sans" w:hAnsi="Work Sans" w:cs="Open Sans"/>
          <w:color w:val="000000"/>
          <w:sz w:val="22"/>
          <w:szCs w:val="22"/>
        </w:rPr>
        <w:t xml:space="preserve"> community advisory board which meets at </w:t>
      </w:r>
      <w:r w:rsidR="003872C7">
        <w:rPr>
          <w:rFonts w:ascii="Work Sans" w:hAnsi="Work Sans" w:cs="Open Sans"/>
          <w:color w:val="000000"/>
          <w:sz w:val="22"/>
          <w:szCs w:val="22"/>
        </w:rPr>
        <w:t>regular intervals.</w:t>
      </w:r>
    </w:p>
    <w:p w14:paraId="37245353" w14:textId="0F65F45B" w:rsidR="0072448F" w:rsidRPr="009A7BC0" w:rsidRDefault="003872C7" w:rsidP="00EC2466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3872C7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Community Feedback: </w:t>
      </w:r>
      <w:r w:rsidR="002B6166" w:rsidRPr="008118C9">
        <w:rPr>
          <w:rFonts w:ascii="Work Sans" w:hAnsi="Work Sans" w:cs="Open Sans"/>
          <w:color w:val="000000"/>
          <w:sz w:val="22"/>
          <w:szCs w:val="22"/>
        </w:rPr>
        <w:t xml:space="preserve">Create infrastructure </w:t>
      </w:r>
      <w:r w:rsidR="008F4636">
        <w:rPr>
          <w:rFonts w:ascii="Work Sans" w:hAnsi="Work Sans" w:cs="Open Sans"/>
          <w:color w:val="000000"/>
          <w:sz w:val="22"/>
          <w:szCs w:val="22"/>
        </w:rPr>
        <w:t>to gather c</w:t>
      </w:r>
      <w:r w:rsidR="002B6166" w:rsidRPr="008118C9">
        <w:rPr>
          <w:rFonts w:ascii="Work Sans" w:hAnsi="Work Sans" w:cs="Open Sans"/>
          <w:color w:val="000000"/>
          <w:sz w:val="22"/>
          <w:szCs w:val="22"/>
        </w:rPr>
        <w:t xml:space="preserve">ommunity feedback </w:t>
      </w:r>
      <w:r w:rsidR="008F4636">
        <w:rPr>
          <w:rFonts w:ascii="Work Sans" w:hAnsi="Work Sans" w:cs="Open Sans"/>
          <w:color w:val="000000"/>
          <w:sz w:val="22"/>
          <w:szCs w:val="22"/>
        </w:rPr>
        <w:t>and integrate feedback</w:t>
      </w:r>
      <w:r w:rsidR="002B6166" w:rsidRPr="008118C9">
        <w:rPr>
          <w:rFonts w:ascii="Work Sans" w:hAnsi="Work Sans" w:cs="Open Sans"/>
          <w:color w:val="000000"/>
          <w:sz w:val="22"/>
          <w:szCs w:val="22"/>
        </w:rPr>
        <w:t xml:space="preserve"> into your program</w:t>
      </w:r>
      <w:r w:rsidR="008F4636">
        <w:rPr>
          <w:rFonts w:ascii="Work Sans" w:hAnsi="Work Sans" w:cs="Open Sans"/>
          <w:color w:val="000000"/>
          <w:sz w:val="22"/>
          <w:szCs w:val="22"/>
        </w:rPr>
        <w:t>. Develop and use an</w:t>
      </w:r>
      <w:r w:rsidR="00AF4695" w:rsidRPr="008118C9">
        <w:rPr>
          <w:rFonts w:ascii="Work Sans" w:hAnsi="Work Sans" w:cs="Open Sans"/>
          <w:color w:val="000000"/>
          <w:sz w:val="22"/>
          <w:szCs w:val="22"/>
        </w:rPr>
        <w:t xml:space="preserve">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>accountability framework</w:t>
      </w:r>
      <w:r w:rsidR="001C60E0" w:rsidRPr="008118C9">
        <w:rPr>
          <w:rFonts w:ascii="Work Sans" w:hAnsi="Work Sans" w:cs="Open Sans"/>
          <w:color w:val="000000"/>
          <w:sz w:val="22"/>
          <w:szCs w:val="22"/>
        </w:rPr>
        <w:t xml:space="preserve"> </w:t>
      </w:r>
      <w:r w:rsidR="008F4636">
        <w:rPr>
          <w:rFonts w:ascii="Work Sans" w:hAnsi="Work Sans" w:cs="Open Sans"/>
          <w:color w:val="000000"/>
          <w:sz w:val="22"/>
          <w:szCs w:val="22"/>
        </w:rPr>
        <w:t xml:space="preserve">to </w:t>
      </w:r>
      <w:r w:rsidR="00532D8E">
        <w:rPr>
          <w:rFonts w:ascii="Work Sans" w:hAnsi="Work Sans" w:cs="Open Sans"/>
          <w:color w:val="000000"/>
          <w:sz w:val="22"/>
          <w:szCs w:val="22"/>
        </w:rPr>
        <w:t xml:space="preserve">govern </w:t>
      </w:r>
      <w:r w:rsidR="001C60E0" w:rsidRPr="008118C9">
        <w:rPr>
          <w:rFonts w:ascii="Work Sans" w:hAnsi="Work Sans" w:cs="Open Sans"/>
          <w:color w:val="000000"/>
          <w:sz w:val="22"/>
          <w:szCs w:val="22"/>
        </w:rPr>
        <w:t xml:space="preserve">how and when the </w:t>
      </w:r>
      <w:r w:rsidR="002B6166" w:rsidRPr="008118C9">
        <w:rPr>
          <w:rFonts w:ascii="Work Sans" w:hAnsi="Work Sans" w:cs="Open Sans"/>
          <w:color w:val="000000"/>
          <w:sz w:val="22"/>
          <w:szCs w:val="22"/>
        </w:rPr>
        <w:t xml:space="preserve">community will </w:t>
      </w:r>
      <w:r w:rsidR="00532D8E">
        <w:rPr>
          <w:rFonts w:ascii="Work Sans" w:hAnsi="Work Sans" w:cs="Open Sans"/>
          <w:color w:val="000000"/>
          <w:sz w:val="22"/>
          <w:szCs w:val="22"/>
        </w:rPr>
        <w:t>receive updates on</w:t>
      </w:r>
      <w:r w:rsidR="00AF4695" w:rsidRPr="008118C9">
        <w:rPr>
          <w:rFonts w:ascii="Work Sans" w:hAnsi="Work Sans" w:cs="Open Sans"/>
          <w:color w:val="000000"/>
          <w:sz w:val="22"/>
          <w:szCs w:val="22"/>
        </w:rPr>
        <w:t xml:space="preserve"> how their feedback is being incorporated</w:t>
      </w:r>
      <w:r w:rsidR="009A7BC0">
        <w:rPr>
          <w:rFonts w:ascii="Work Sans" w:hAnsi="Work Sans" w:cs="Open Sans"/>
          <w:color w:val="000000"/>
          <w:sz w:val="22"/>
          <w:szCs w:val="22"/>
        </w:rPr>
        <w:t xml:space="preserve">. </w:t>
      </w:r>
    </w:p>
    <w:p w14:paraId="259861A9" w14:textId="09EC84DD" w:rsidR="00B85E2A" w:rsidRPr="008F3930" w:rsidRDefault="00994151" w:rsidP="008118C9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294581" w:themeColor="accent1"/>
        </w:rPr>
      </w:pPr>
      <w:r w:rsidRPr="008F3930">
        <w:rPr>
          <w:rFonts w:ascii="Work Sans" w:hAnsi="Work Sans" w:cs="Open Sans"/>
          <w:b/>
          <w:bCs/>
          <w:color w:val="294581" w:themeColor="accent1"/>
        </w:rPr>
        <w:lastRenderedPageBreak/>
        <w:t>Develop</w:t>
      </w:r>
      <w:r w:rsidR="002E1123">
        <w:rPr>
          <w:rFonts w:ascii="Work Sans" w:hAnsi="Work Sans" w:cs="Open Sans"/>
          <w:b/>
          <w:bCs/>
          <w:color w:val="294581" w:themeColor="accent1"/>
        </w:rPr>
        <w:t xml:space="preserve"> and Use </w:t>
      </w:r>
      <w:r w:rsidR="008F3930" w:rsidRPr="008F3930">
        <w:rPr>
          <w:rFonts w:ascii="Work Sans" w:hAnsi="Work Sans" w:cs="Open Sans"/>
          <w:b/>
          <w:bCs/>
          <w:color w:val="294581" w:themeColor="accent1"/>
        </w:rPr>
        <w:t>Culturally Reflective</w:t>
      </w:r>
      <w:r w:rsidRPr="008F3930">
        <w:rPr>
          <w:rFonts w:ascii="Work Sans" w:hAnsi="Work Sans" w:cs="Open Sans"/>
          <w:b/>
          <w:bCs/>
          <w:color w:val="294581" w:themeColor="accent1"/>
        </w:rPr>
        <w:t xml:space="preserve"> Patient Education </w:t>
      </w:r>
      <w:r w:rsidR="00A52818" w:rsidRPr="008F3930">
        <w:rPr>
          <w:rFonts w:ascii="Work Sans" w:hAnsi="Work Sans" w:cs="Open Sans"/>
          <w:b/>
          <w:bCs/>
          <w:color w:val="294581" w:themeColor="accent1"/>
        </w:rPr>
        <w:t>and A</w:t>
      </w:r>
      <w:r w:rsidR="002E1123">
        <w:rPr>
          <w:rFonts w:ascii="Work Sans" w:hAnsi="Work Sans" w:cs="Open Sans"/>
          <w:b/>
          <w:bCs/>
          <w:color w:val="294581" w:themeColor="accent1"/>
        </w:rPr>
        <w:t xml:space="preserve">wareness </w:t>
      </w:r>
      <w:r w:rsidRPr="008F3930">
        <w:rPr>
          <w:rFonts w:ascii="Work Sans" w:hAnsi="Work Sans" w:cs="Open Sans"/>
          <w:b/>
          <w:bCs/>
          <w:color w:val="294581" w:themeColor="accent1"/>
        </w:rPr>
        <w:t>Materials</w:t>
      </w:r>
    </w:p>
    <w:p w14:paraId="7E418E0C" w14:textId="39442175" w:rsidR="00AE479A" w:rsidRPr="00254D3C" w:rsidRDefault="00254D3C" w:rsidP="00BE3E28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254D3C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Prepare Staff: </w:t>
      </w:r>
      <w:r w:rsidR="00F23C96" w:rsidRPr="00F56AD8">
        <w:rPr>
          <w:rFonts w:ascii="Work Sans" w:hAnsi="Work Sans" w:cs="Open Sans"/>
          <w:color w:val="000000"/>
          <w:sz w:val="22"/>
          <w:szCs w:val="22"/>
        </w:rPr>
        <w:t>E</w:t>
      </w:r>
      <w:r w:rsidR="008D10E9" w:rsidRPr="00F56AD8">
        <w:rPr>
          <w:rFonts w:ascii="Work Sans" w:hAnsi="Work Sans" w:cs="Open Sans"/>
          <w:color w:val="000000"/>
          <w:sz w:val="22"/>
          <w:szCs w:val="22"/>
        </w:rPr>
        <w:t xml:space="preserve">nsure </w:t>
      </w:r>
      <w:r w:rsidR="0031444B" w:rsidRPr="00F56AD8">
        <w:rPr>
          <w:rFonts w:ascii="Work Sans" w:hAnsi="Work Sans" w:cs="Open Sans"/>
          <w:color w:val="000000"/>
          <w:sz w:val="22"/>
          <w:szCs w:val="22"/>
        </w:rPr>
        <w:t xml:space="preserve">all staff – from front desk and clerical staff to providers </w:t>
      </w:r>
      <w:r w:rsidR="008D10E9" w:rsidRPr="00F56AD8">
        <w:rPr>
          <w:rFonts w:ascii="Work Sans" w:hAnsi="Work Sans" w:cs="Open Sans"/>
          <w:color w:val="000000"/>
          <w:sz w:val="22"/>
          <w:szCs w:val="22"/>
        </w:rPr>
        <w:t>–</w:t>
      </w:r>
      <w:r w:rsidR="0031444B" w:rsidRPr="00F56AD8">
        <w:rPr>
          <w:rFonts w:ascii="Work Sans" w:hAnsi="Work Sans" w:cs="Open Sans"/>
          <w:color w:val="000000"/>
          <w:sz w:val="22"/>
          <w:szCs w:val="22"/>
        </w:rPr>
        <w:t xml:space="preserve"> are trained and on the same page about </w:t>
      </w:r>
      <w:r w:rsidR="0048492A">
        <w:rPr>
          <w:rFonts w:ascii="Work Sans" w:hAnsi="Work Sans" w:cs="Open Sans"/>
          <w:color w:val="000000"/>
          <w:sz w:val="22"/>
          <w:szCs w:val="22"/>
        </w:rPr>
        <w:t>doxycycline as STI PEP</w:t>
      </w:r>
      <w:r w:rsidR="008D10E9" w:rsidRPr="00F56AD8">
        <w:rPr>
          <w:rFonts w:ascii="Work Sans" w:hAnsi="Work Sans" w:cs="Open Sans"/>
          <w:color w:val="000000"/>
          <w:sz w:val="22"/>
          <w:szCs w:val="22"/>
        </w:rPr>
        <w:t xml:space="preserve">. Patients should be able to clearly understand </w:t>
      </w:r>
      <w:r w:rsidR="007D0FD2" w:rsidRPr="00F56AD8">
        <w:rPr>
          <w:rFonts w:ascii="Work Sans" w:hAnsi="Work Sans" w:cs="Open Sans"/>
          <w:color w:val="000000"/>
          <w:sz w:val="22"/>
          <w:szCs w:val="22"/>
        </w:rPr>
        <w:t>how they can access doxycycline as STI PEP</w:t>
      </w:r>
      <w:r w:rsidR="00751487" w:rsidRPr="00F56AD8">
        <w:rPr>
          <w:rFonts w:ascii="Work Sans" w:hAnsi="Work Sans" w:cs="Open Sans"/>
          <w:color w:val="000000"/>
          <w:sz w:val="22"/>
          <w:szCs w:val="22"/>
        </w:rPr>
        <w:t xml:space="preserve"> and not</w:t>
      </w:r>
      <w:r w:rsidR="00F56AD8" w:rsidRPr="00F56AD8">
        <w:rPr>
          <w:rFonts w:ascii="Work Sans" w:hAnsi="Work Sans" w:cs="Open Sans"/>
          <w:color w:val="000000"/>
          <w:sz w:val="22"/>
          <w:szCs w:val="22"/>
        </w:rPr>
        <w:t xml:space="preserve"> encounter barriers when making appointments or interacting with staff. </w:t>
      </w:r>
      <w:r w:rsidR="0031444B" w:rsidRPr="00F56AD8">
        <w:rPr>
          <w:rFonts w:ascii="Work Sans" w:hAnsi="Work Sans" w:cs="Open Sans"/>
          <w:color w:val="000000"/>
          <w:sz w:val="22"/>
          <w:szCs w:val="22"/>
        </w:rPr>
        <w:t xml:space="preserve"> </w:t>
      </w:r>
    </w:p>
    <w:p w14:paraId="0D5B05A4" w14:textId="5D809154" w:rsidR="001C60E0" w:rsidRPr="00617FBE" w:rsidRDefault="00617FBE" w:rsidP="00BE3E28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617FBE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 xml:space="preserve">Collaborate on Communications: </w:t>
      </w:r>
      <w:r w:rsidR="0000689C" w:rsidRPr="00617FBE">
        <w:rPr>
          <w:rFonts w:ascii="Work Sans" w:hAnsi="Work Sans" w:cs="Open Sans"/>
          <w:color w:val="000000"/>
          <w:sz w:val="22"/>
          <w:szCs w:val="22"/>
        </w:rPr>
        <w:t xml:space="preserve">Engage </w:t>
      </w:r>
      <w:r w:rsidR="00254D3C" w:rsidRPr="00617FBE">
        <w:rPr>
          <w:rFonts w:ascii="Work Sans" w:hAnsi="Work Sans" w:cs="Open Sans"/>
          <w:color w:val="000000"/>
          <w:sz w:val="22"/>
          <w:szCs w:val="22"/>
        </w:rPr>
        <w:t xml:space="preserve">community-based organizations and </w:t>
      </w:r>
      <w:r w:rsidR="004205E6" w:rsidRPr="00617FBE">
        <w:rPr>
          <w:rFonts w:ascii="Work Sans" w:hAnsi="Work Sans" w:cs="Open Sans"/>
          <w:color w:val="000000"/>
          <w:sz w:val="22"/>
          <w:szCs w:val="22"/>
        </w:rPr>
        <w:t xml:space="preserve">local representatives from populations </w:t>
      </w:r>
      <w:r w:rsidR="0000689C" w:rsidRPr="00617FBE">
        <w:rPr>
          <w:rFonts w:ascii="Work Sans" w:hAnsi="Work Sans" w:cs="Open Sans"/>
          <w:color w:val="000000"/>
          <w:sz w:val="22"/>
          <w:szCs w:val="22"/>
        </w:rPr>
        <w:t>experiencing sexual health disparities in the development of messaging and communications tools</w:t>
      </w:r>
      <w:r w:rsidR="004205E6" w:rsidRPr="00617FBE">
        <w:rPr>
          <w:rFonts w:ascii="Work Sans" w:hAnsi="Work Sans" w:cs="Open Sans"/>
          <w:color w:val="000000"/>
          <w:sz w:val="22"/>
          <w:szCs w:val="22"/>
        </w:rPr>
        <w:t xml:space="preserve">. </w:t>
      </w:r>
    </w:p>
    <w:p w14:paraId="27EA0D25" w14:textId="7F07A523" w:rsidR="00A52818" w:rsidRPr="0048492A" w:rsidRDefault="00A8685A" w:rsidP="00BE3E28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A8685A">
        <w:rPr>
          <w:rFonts w:ascii="Work Sans" w:hAnsi="Work Sans" w:cs="Open Sans"/>
          <w:b/>
          <w:bCs/>
          <w:color w:val="294581" w:themeColor="accent1"/>
          <w:sz w:val="22"/>
          <w:szCs w:val="22"/>
        </w:rPr>
        <w:t>Be Transparent with Providers and Patients:</w:t>
      </w:r>
      <w:r w:rsidR="0031444B" w:rsidRPr="00A8685A">
        <w:rPr>
          <w:rFonts w:ascii="Work Sans" w:hAnsi="Work Sans" w:cs="Open Sans"/>
          <w:color w:val="294581" w:themeColor="accent1"/>
          <w:sz w:val="22"/>
          <w:szCs w:val="22"/>
        </w:rPr>
        <w:t xml:space="preserve"> </w:t>
      </w:r>
      <w:r>
        <w:rPr>
          <w:rFonts w:ascii="Work Sans" w:hAnsi="Work Sans" w:cs="Open Sans"/>
          <w:sz w:val="22"/>
          <w:szCs w:val="22"/>
        </w:rPr>
        <w:t xml:space="preserve">Being </w:t>
      </w:r>
      <w:r w:rsidR="0031444B" w:rsidRPr="008118C9">
        <w:rPr>
          <w:rFonts w:ascii="Work Sans" w:hAnsi="Work Sans" w:cs="Open Sans"/>
          <w:color w:val="000000"/>
          <w:sz w:val="22"/>
          <w:szCs w:val="22"/>
        </w:rPr>
        <w:t>transparent with providers and patients about what we know and what we don’t know</w:t>
      </w:r>
      <w:r>
        <w:rPr>
          <w:rFonts w:ascii="Work Sans" w:hAnsi="Work Sans" w:cs="Open Sans"/>
          <w:color w:val="000000"/>
          <w:sz w:val="22"/>
          <w:szCs w:val="22"/>
        </w:rPr>
        <w:t xml:space="preserve"> </w:t>
      </w:r>
      <w:r w:rsidR="0031444B" w:rsidRPr="008118C9">
        <w:rPr>
          <w:rFonts w:ascii="Work Sans" w:hAnsi="Work Sans" w:cs="Open Sans"/>
          <w:color w:val="000000"/>
          <w:sz w:val="22"/>
          <w:szCs w:val="22"/>
        </w:rPr>
        <w:t xml:space="preserve">about </w:t>
      </w:r>
      <w:r w:rsidR="0048492A">
        <w:rPr>
          <w:rFonts w:ascii="Work Sans" w:hAnsi="Work Sans" w:cs="Open Sans"/>
          <w:color w:val="000000"/>
          <w:sz w:val="22"/>
          <w:szCs w:val="22"/>
        </w:rPr>
        <w:t>doxycycline as STI PEP</w:t>
      </w:r>
      <w:r>
        <w:rPr>
          <w:rFonts w:ascii="Work Sans" w:hAnsi="Work Sans" w:cs="Open Sans"/>
          <w:color w:val="000000"/>
          <w:sz w:val="22"/>
          <w:szCs w:val="22"/>
        </w:rPr>
        <w:t xml:space="preserve"> will help increase trust</w:t>
      </w:r>
      <w:r w:rsidR="0048492A">
        <w:rPr>
          <w:rFonts w:ascii="Work Sans" w:hAnsi="Work Sans" w:cs="Open Sans"/>
          <w:color w:val="000000"/>
          <w:sz w:val="22"/>
          <w:szCs w:val="22"/>
        </w:rPr>
        <w:t xml:space="preserve"> and build comfort</w:t>
      </w:r>
      <w:r>
        <w:rPr>
          <w:rFonts w:ascii="Work Sans" w:hAnsi="Work Sans" w:cs="Open Sans"/>
          <w:color w:val="000000"/>
          <w:sz w:val="22"/>
          <w:szCs w:val="22"/>
        </w:rPr>
        <w:t xml:space="preserve">. </w:t>
      </w:r>
      <w:r w:rsidR="00717114">
        <w:rPr>
          <w:rFonts w:ascii="Work Sans" w:hAnsi="Work Sans" w:cs="Open Sans"/>
          <w:color w:val="000000"/>
          <w:sz w:val="22"/>
          <w:szCs w:val="22"/>
        </w:rPr>
        <w:t xml:space="preserve">These conversations might include </w:t>
      </w:r>
      <w:r w:rsidR="00A02C77">
        <w:rPr>
          <w:rFonts w:ascii="Work Sans" w:hAnsi="Work Sans" w:cs="Open Sans"/>
          <w:color w:val="000000"/>
          <w:sz w:val="22"/>
          <w:szCs w:val="22"/>
        </w:rPr>
        <w:t>the limitations of current research</w:t>
      </w:r>
      <w:r w:rsidR="00517478" w:rsidRPr="008118C9">
        <w:rPr>
          <w:rFonts w:ascii="Work Sans" w:hAnsi="Work Sans" w:cs="Open Sans"/>
          <w:color w:val="000000"/>
          <w:sz w:val="22"/>
          <w:szCs w:val="22"/>
        </w:rPr>
        <w:t>,</w:t>
      </w:r>
      <w:r w:rsidR="00963A77">
        <w:rPr>
          <w:rFonts w:ascii="Work Sans" w:hAnsi="Work Sans" w:cs="Open Sans"/>
          <w:color w:val="000000"/>
          <w:sz w:val="22"/>
          <w:szCs w:val="22"/>
        </w:rPr>
        <w:t xml:space="preserve"> including </w:t>
      </w:r>
      <w:r w:rsidR="0048233B">
        <w:rPr>
          <w:rFonts w:ascii="Work Sans" w:hAnsi="Work Sans" w:cs="Open Sans"/>
          <w:color w:val="000000"/>
          <w:sz w:val="22"/>
          <w:szCs w:val="22"/>
        </w:rPr>
        <w:t xml:space="preserve">the lack of supportive data on cisgender women, or </w:t>
      </w:r>
      <w:r w:rsidR="00963A77">
        <w:rPr>
          <w:rFonts w:ascii="Work Sans" w:hAnsi="Work Sans" w:cs="Open Sans"/>
          <w:color w:val="000000"/>
          <w:sz w:val="22"/>
          <w:szCs w:val="22"/>
        </w:rPr>
        <w:t xml:space="preserve">concerns about </w:t>
      </w:r>
      <w:r w:rsidR="0031444B" w:rsidRPr="008118C9">
        <w:rPr>
          <w:rFonts w:ascii="Work Sans" w:hAnsi="Work Sans" w:cs="Open Sans"/>
          <w:color w:val="000000"/>
          <w:sz w:val="22"/>
          <w:szCs w:val="22"/>
        </w:rPr>
        <w:t xml:space="preserve">antimicrobial resistance (AMR). </w:t>
      </w:r>
    </w:p>
    <w:p w14:paraId="308942CB" w14:textId="77777777" w:rsidR="00595652" w:rsidRPr="008118C9" w:rsidRDefault="00595652" w:rsidP="008118C9">
      <w:pPr>
        <w:spacing w:line="276" w:lineRule="auto"/>
        <w:rPr>
          <w:rFonts w:ascii="Work Sans" w:hAnsi="Work Sans"/>
          <w:b/>
          <w:bCs/>
          <w:sz w:val="18"/>
          <w:szCs w:val="18"/>
        </w:rPr>
      </w:pPr>
    </w:p>
    <w:p w14:paraId="3F314783" w14:textId="5FB74966" w:rsidR="0042116E" w:rsidRDefault="00546146" w:rsidP="0042116E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294581" w:themeColor="accent1"/>
        </w:rPr>
      </w:pPr>
      <w:r w:rsidRPr="0042116E">
        <w:rPr>
          <w:rFonts w:ascii="Work Sans" w:hAnsi="Work Sans" w:cs="Open Sans"/>
          <w:b/>
          <w:bCs/>
          <w:color w:val="294581" w:themeColor="accent1"/>
        </w:rPr>
        <w:t xml:space="preserve">Program Evaluation </w:t>
      </w:r>
    </w:p>
    <w:p w14:paraId="1390C7B7" w14:textId="61F84DA2" w:rsidR="0042116E" w:rsidRPr="00295F26" w:rsidRDefault="0042116E" w:rsidP="0042116E">
      <w:pPr>
        <w:pStyle w:val="NormalWeb"/>
        <w:shd w:val="clear" w:color="auto" w:fill="FFFFFF"/>
        <w:spacing w:before="0" w:beforeAutospacing="0" w:line="276" w:lineRule="auto"/>
        <w:rPr>
          <w:rFonts w:ascii="Work Sans" w:hAnsi="Work Sans" w:cs="Open Sans"/>
          <w:sz w:val="22"/>
          <w:szCs w:val="22"/>
        </w:rPr>
      </w:pPr>
      <w:r w:rsidRPr="00295F26">
        <w:rPr>
          <w:rFonts w:ascii="Work Sans" w:hAnsi="Work Sans" w:cs="Open Sans"/>
          <w:sz w:val="22"/>
          <w:szCs w:val="22"/>
        </w:rPr>
        <w:t xml:space="preserve">Consider </w:t>
      </w:r>
      <w:r w:rsidR="00D25F3F" w:rsidRPr="00295F26">
        <w:rPr>
          <w:rFonts w:ascii="Work Sans" w:hAnsi="Work Sans" w:cs="Open Sans"/>
          <w:sz w:val="22"/>
          <w:szCs w:val="22"/>
        </w:rPr>
        <w:t xml:space="preserve">developing an evaluation plan to benchmark </w:t>
      </w:r>
      <w:r w:rsidR="00476812" w:rsidRPr="00295F26">
        <w:rPr>
          <w:rFonts w:ascii="Work Sans" w:hAnsi="Work Sans" w:cs="Open Sans"/>
          <w:sz w:val="22"/>
          <w:szCs w:val="22"/>
        </w:rPr>
        <w:t xml:space="preserve">the effectiveness of your efforts that </w:t>
      </w:r>
      <w:r w:rsidR="00295F26" w:rsidRPr="00295F26">
        <w:rPr>
          <w:rFonts w:ascii="Work Sans" w:hAnsi="Work Sans" w:cs="Open Sans"/>
          <w:sz w:val="22"/>
          <w:szCs w:val="22"/>
        </w:rPr>
        <w:t xml:space="preserve">examines the following questions: </w:t>
      </w:r>
      <w:r w:rsidR="00D25F3F" w:rsidRPr="00295F26">
        <w:rPr>
          <w:rFonts w:ascii="Work Sans" w:hAnsi="Work Sans" w:cs="Open Sans"/>
          <w:sz w:val="22"/>
          <w:szCs w:val="22"/>
        </w:rPr>
        <w:t xml:space="preserve"> </w:t>
      </w:r>
    </w:p>
    <w:p w14:paraId="6C58078B" w14:textId="45C7D5FD" w:rsidR="00546146" w:rsidRPr="008118C9" w:rsidRDefault="00546146" w:rsidP="008118C9">
      <w:pPr>
        <w:pStyle w:val="NormalWeb"/>
        <w:numPr>
          <w:ilvl w:val="0"/>
          <w:numId w:val="4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 xml:space="preserve">How will you assess the effectiveness of your </w:t>
      </w:r>
      <w:r w:rsidR="0037359B">
        <w:rPr>
          <w:rFonts w:ascii="Work Sans" w:hAnsi="Work Sans" w:cs="Open Sans"/>
          <w:color w:val="000000"/>
          <w:sz w:val="22"/>
          <w:szCs w:val="22"/>
        </w:rPr>
        <w:t>d</w:t>
      </w:r>
      <w:r w:rsidR="0048492A">
        <w:rPr>
          <w:rFonts w:ascii="Work Sans" w:hAnsi="Work Sans" w:cs="Open Sans"/>
          <w:color w:val="000000"/>
          <w:sz w:val="22"/>
          <w:szCs w:val="22"/>
        </w:rPr>
        <w:t>oxycycline as STI PEP</w:t>
      </w:r>
      <w:r w:rsidRPr="008118C9">
        <w:rPr>
          <w:rFonts w:ascii="Work Sans" w:hAnsi="Work Sans" w:cs="Open Sans"/>
          <w:color w:val="000000"/>
          <w:sz w:val="22"/>
          <w:szCs w:val="22"/>
        </w:rPr>
        <w:t xml:space="preserve"> program?</w:t>
      </w:r>
      <w:r w:rsidR="00F36D9C">
        <w:rPr>
          <w:rFonts w:ascii="Work Sans" w:hAnsi="Work Sans" w:cs="Open Sans"/>
          <w:color w:val="000000"/>
          <w:sz w:val="22"/>
          <w:szCs w:val="22"/>
        </w:rPr>
        <w:t xml:space="preserve"> What benchmarks will you use? </w:t>
      </w:r>
    </w:p>
    <w:p w14:paraId="3F0DB4CF" w14:textId="2AE7F30E" w:rsidR="00546146" w:rsidRPr="008118C9" w:rsidRDefault="00F36D9C" w:rsidP="008118C9">
      <w:pPr>
        <w:pStyle w:val="NormalWeb"/>
        <w:numPr>
          <w:ilvl w:val="0"/>
          <w:numId w:val="4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>
        <w:rPr>
          <w:rFonts w:ascii="Work Sans" w:hAnsi="Work Sans" w:cs="Open Sans"/>
          <w:color w:val="000000"/>
          <w:sz w:val="22"/>
          <w:szCs w:val="22"/>
        </w:rPr>
        <w:t>What is the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 xml:space="preserve"> time frame</w:t>
      </w:r>
      <w:r>
        <w:rPr>
          <w:rFonts w:ascii="Work Sans" w:hAnsi="Work Sans" w:cs="Open Sans"/>
          <w:color w:val="000000"/>
          <w:sz w:val="22"/>
          <w:szCs w:val="22"/>
        </w:rPr>
        <w:t xml:space="preserve"> and </w:t>
      </w:r>
      <w:r w:rsidR="00546146" w:rsidRPr="008118C9">
        <w:rPr>
          <w:rFonts w:ascii="Work Sans" w:hAnsi="Work Sans" w:cs="Open Sans"/>
          <w:color w:val="000000"/>
          <w:sz w:val="22"/>
          <w:szCs w:val="22"/>
        </w:rPr>
        <w:t>frequency of assessment</w:t>
      </w:r>
      <w:r w:rsidR="00517478" w:rsidRPr="008118C9">
        <w:rPr>
          <w:rFonts w:ascii="Work Sans" w:hAnsi="Work Sans" w:cs="Open Sans"/>
          <w:color w:val="000000"/>
          <w:sz w:val="22"/>
          <w:szCs w:val="22"/>
        </w:rPr>
        <w:t xml:space="preserve"> and data collection</w:t>
      </w:r>
      <w:r>
        <w:rPr>
          <w:rFonts w:ascii="Work Sans" w:hAnsi="Work Sans" w:cs="Open Sans"/>
          <w:color w:val="000000"/>
          <w:sz w:val="22"/>
          <w:szCs w:val="22"/>
        </w:rPr>
        <w:t>?</w:t>
      </w:r>
      <w:r w:rsidR="00517478" w:rsidRPr="008118C9">
        <w:rPr>
          <w:rFonts w:ascii="Work Sans" w:hAnsi="Work Sans" w:cs="Open Sans"/>
          <w:color w:val="000000"/>
          <w:sz w:val="22"/>
          <w:szCs w:val="22"/>
        </w:rPr>
        <w:t xml:space="preserve"> </w:t>
      </w:r>
    </w:p>
    <w:p w14:paraId="65837883" w14:textId="3DE72EDF" w:rsidR="00546146" w:rsidRPr="0004426F" w:rsidRDefault="00546146" w:rsidP="008118C9">
      <w:pPr>
        <w:pStyle w:val="NormalWeb"/>
        <w:numPr>
          <w:ilvl w:val="0"/>
          <w:numId w:val="4"/>
        </w:numPr>
        <w:shd w:val="clear" w:color="auto" w:fill="FFFFFF"/>
        <w:spacing w:before="0" w:beforeAutospacing="0" w:line="276" w:lineRule="auto"/>
        <w:rPr>
          <w:rFonts w:ascii="Work Sans" w:hAnsi="Work Sans" w:cs="Open Sans"/>
          <w:b/>
          <w:bCs/>
          <w:color w:val="000000"/>
          <w:sz w:val="22"/>
          <w:szCs w:val="22"/>
          <w:u w:val="single"/>
        </w:rPr>
      </w:pPr>
      <w:r w:rsidRPr="008118C9">
        <w:rPr>
          <w:rFonts w:ascii="Work Sans" w:hAnsi="Work Sans" w:cs="Open Sans"/>
          <w:color w:val="000000"/>
          <w:sz w:val="22"/>
          <w:szCs w:val="22"/>
        </w:rPr>
        <w:t xml:space="preserve">How will your program evaluation data be shared, </w:t>
      </w:r>
      <w:r w:rsidR="00517478" w:rsidRPr="008118C9">
        <w:rPr>
          <w:rFonts w:ascii="Work Sans" w:hAnsi="Work Sans" w:cs="Open Sans"/>
          <w:color w:val="000000"/>
          <w:sz w:val="22"/>
          <w:szCs w:val="22"/>
        </w:rPr>
        <w:t xml:space="preserve">in what frequency, </w:t>
      </w:r>
      <w:r w:rsidRPr="008118C9">
        <w:rPr>
          <w:rFonts w:ascii="Work Sans" w:hAnsi="Work Sans" w:cs="Open Sans"/>
          <w:color w:val="000000"/>
          <w:sz w:val="22"/>
          <w:szCs w:val="22"/>
        </w:rPr>
        <w:t xml:space="preserve">and with whom? </w:t>
      </w:r>
    </w:p>
    <w:p w14:paraId="4FB2A369" w14:textId="58627863" w:rsidR="00595652" w:rsidRPr="0037359B" w:rsidRDefault="0004426F" w:rsidP="11C529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line="276" w:lineRule="auto"/>
        <w:rPr>
          <w:rFonts w:ascii="Work Sans" w:hAnsi="Work Sans"/>
          <w:b/>
          <w:bCs/>
          <w:sz w:val="18"/>
          <w:szCs w:val="18"/>
        </w:rPr>
      </w:pPr>
      <w:r w:rsidRPr="0037359B">
        <w:rPr>
          <w:rFonts w:ascii="Work Sans" w:hAnsi="Work Sans" w:cs="Open Sans"/>
          <w:color w:val="000000"/>
          <w:sz w:val="22"/>
          <w:szCs w:val="22"/>
        </w:rPr>
        <w:t xml:space="preserve">How will </w:t>
      </w:r>
      <w:r w:rsidR="0037359B">
        <w:rPr>
          <w:rFonts w:ascii="Work Sans" w:hAnsi="Work Sans" w:cs="Open Sans"/>
          <w:color w:val="000000"/>
          <w:sz w:val="22"/>
          <w:szCs w:val="22"/>
        </w:rPr>
        <w:t xml:space="preserve">you determine </w:t>
      </w:r>
      <w:r w:rsidR="09217E72" w:rsidRPr="09217E72">
        <w:rPr>
          <w:rFonts w:ascii="Work Sans" w:hAnsi="Work Sans" w:cs="Open Sans"/>
          <w:color w:val="000000"/>
          <w:sz w:val="22"/>
          <w:szCs w:val="22"/>
        </w:rPr>
        <w:t>if</w:t>
      </w:r>
      <w:r w:rsidR="0037359B">
        <w:rPr>
          <w:rFonts w:ascii="Work Sans" w:hAnsi="Work Sans" w:cs="Open Sans"/>
          <w:color w:val="000000"/>
          <w:sz w:val="22"/>
          <w:szCs w:val="22"/>
        </w:rPr>
        <w:t xml:space="preserve"> your doxycycline as STI PEP program is equitable and </w:t>
      </w:r>
      <w:r w:rsidR="00E86777">
        <w:rPr>
          <w:rFonts w:ascii="Work Sans" w:hAnsi="Work Sans" w:cs="Open Sans"/>
          <w:color w:val="000000"/>
          <w:sz w:val="22"/>
          <w:szCs w:val="22"/>
        </w:rPr>
        <w:t xml:space="preserve">reaching populations disparately impacted by STIs? </w:t>
      </w:r>
    </w:p>
    <w:sectPr w:rsidR="00595652" w:rsidRPr="003735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781E" w14:textId="77777777" w:rsidR="00C457C7" w:rsidRDefault="00C457C7" w:rsidP="00024486">
      <w:pPr>
        <w:spacing w:after="0" w:line="240" w:lineRule="auto"/>
      </w:pPr>
      <w:r>
        <w:separator/>
      </w:r>
    </w:p>
  </w:endnote>
  <w:endnote w:type="continuationSeparator" w:id="0">
    <w:p w14:paraId="397E0FC4" w14:textId="77777777" w:rsidR="00C457C7" w:rsidRDefault="00C457C7" w:rsidP="00024486">
      <w:pPr>
        <w:spacing w:after="0" w:line="240" w:lineRule="auto"/>
      </w:pPr>
      <w:r>
        <w:continuationSeparator/>
      </w:r>
    </w:p>
  </w:endnote>
  <w:endnote w:type="continuationNotice" w:id="1">
    <w:p w14:paraId="238917F0" w14:textId="77777777" w:rsidR="00A537B1" w:rsidRDefault="00A53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E771" w14:textId="6C7C3DC8" w:rsidR="001C60E0" w:rsidRDefault="001C60E0">
    <w:pPr>
      <w:pStyle w:val="Footer"/>
      <w:jc w:val="center"/>
    </w:pPr>
  </w:p>
  <w:p w14:paraId="16AD28CD" w14:textId="77777777" w:rsidR="001C60E0" w:rsidRDefault="001C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F89C" w14:textId="77777777" w:rsidR="00C457C7" w:rsidRDefault="00C457C7" w:rsidP="00024486">
      <w:pPr>
        <w:spacing w:after="0" w:line="240" w:lineRule="auto"/>
      </w:pPr>
      <w:r>
        <w:separator/>
      </w:r>
    </w:p>
  </w:footnote>
  <w:footnote w:type="continuationSeparator" w:id="0">
    <w:p w14:paraId="2D0966B4" w14:textId="77777777" w:rsidR="00C457C7" w:rsidRDefault="00C457C7" w:rsidP="00024486">
      <w:pPr>
        <w:spacing w:after="0" w:line="240" w:lineRule="auto"/>
      </w:pPr>
      <w:r>
        <w:continuationSeparator/>
      </w:r>
    </w:p>
  </w:footnote>
  <w:footnote w:type="continuationNotice" w:id="1">
    <w:p w14:paraId="4794515B" w14:textId="77777777" w:rsidR="00A537B1" w:rsidRDefault="00A53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714A" w14:textId="77777777" w:rsidR="002C3D8C" w:rsidRDefault="002C3D8C" w:rsidP="002C3D8C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5A37B25" wp14:editId="5BB80106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343660" cy="530225"/>
          <wp:effectExtent l="0" t="0" r="8890" b="3175"/>
          <wp:wrapNone/>
          <wp:docPr id="257624391" name="Picture 25762439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24391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3D0C2111" wp14:editId="155D5382">
          <wp:extent cx="1343025" cy="526449"/>
          <wp:effectExtent l="0" t="0" r="0" b="6985"/>
          <wp:docPr id="182675896" name="Picture 182675896" descr="A logo with blue and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75896" name="Picture 1" descr="A logo with blue and whit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32" cy="54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DDD81" w14:textId="77777777" w:rsidR="002C3D8C" w:rsidRDefault="002C3D8C" w:rsidP="002C3D8C">
    <w:pPr>
      <w:pStyle w:val="Header"/>
      <w:rPr>
        <w:b/>
        <w:bCs/>
        <w:noProof/>
      </w:rPr>
    </w:pPr>
  </w:p>
  <w:p w14:paraId="36B76B7D" w14:textId="77777777" w:rsidR="002C3D8C" w:rsidRPr="00392506" w:rsidRDefault="002C3D8C" w:rsidP="002C3D8C">
    <w:pPr>
      <w:pStyle w:val="Header"/>
      <w:rPr>
        <w:b/>
        <w:bCs/>
      </w:rPr>
    </w:pPr>
  </w:p>
  <w:p w14:paraId="58EA1EB6" w14:textId="619DCF0E" w:rsidR="00024486" w:rsidRPr="006250A9" w:rsidRDefault="00024486" w:rsidP="00625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4ED"/>
    <w:multiLevelType w:val="hybridMultilevel"/>
    <w:tmpl w:val="8A44DB90"/>
    <w:lvl w:ilvl="0" w:tplc="CB38C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E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29B5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25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22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2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0C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4C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E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C541CC"/>
    <w:multiLevelType w:val="hybridMultilevel"/>
    <w:tmpl w:val="DBDE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3091"/>
    <w:multiLevelType w:val="hybridMultilevel"/>
    <w:tmpl w:val="E70A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74E1"/>
    <w:multiLevelType w:val="hybridMultilevel"/>
    <w:tmpl w:val="458C777E"/>
    <w:lvl w:ilvl="0" w:tplc="439071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4390711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208E"/>
    <w:multiLevelType w:val="hybridMultilevel"/>
    <w:tmpl w:val="4686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62DF"/>
    <w:multiLevelType w:val="hybridMultilevel"/>
    <w:tmpl w:val="6DD05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382515">
    <w:abstractNumId w:val="0"/>
  </w:num>
  <w:num w:numId="2" w16cid:durableId="2002997635">
    <w:abstractNumId w:val="3"/>
  </w:num>
  <w:num w:numId="3" w16cid:durableId="946543024">
    <w:abstractNumId w:val="2"/>
  </w:num>
  <w:num w:numId="4" w16cid:durableId="693725313">
    <w:abstractNumId w:val="5"/>
  </w:num>
  <w:num w:numId="5" w16cid:durableId="1746877122">
    <w:abstractNumId w:val="4"/>
  </w:num>
  <w:num w:numId="6" w16cid:durableId="120732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52"/>
    <w:rsid w:val="0000689C"/>
    <w:rsid w:val="00024486"/>
    <w:rsid w:val="0004426F"/>
    <w:rsid w:val="00051D18"/>
    <w:rsid w:val="00083FFA"/>
    <w:rsid w:val="000A3CE9"/>
    <w:rsid w:val="000D3005"/>
    <w:rsid w:val="0014164E"/>
    <w:rsid w:val="00196764"/>
    <w:rsid w:val="001C60E0"/>
    <w:rsid w:val="00207190"/>
    <w:rsid w:val="00222297"/>
    <w:rsid w:val="00254D3C"/>
    <w:rsid w:val="00295F26"/>
    <w:rsid w:val="002B6166"/>
    <w:rsid w:val="002C3D8C"/>
    <w:rsid w:val="002E1123"/>
    <w:rsid w:val="002E2C8A"/>
    <w:rsid w:val="0031444B"/>
    <w:rsid w:val="00323CB4"/>
    <w:rsid w:val="0037359B"/>
    <w:rsid w:val="003872C7"/>
    <w:rsid w:val="003B1C6B"/>
    <w:rsid w:val="003D1146"/>
    <w:rsid w:val="004205E6"/>
    <w:rsid w:val="0042116E"/>
    <w:rsid w:val="00432B9E"/>
    <w:rsid w:val="004409D0"/>
    <w:rsid w:val="00452C77"/>
    <w:rsid w:val="00457CDD"/>
    <w:rsid w:val="00476812"/>
    <w:rsid w:val="0048233B"/>
    <w:rsid w:val="0048492A"/>
    <w:rsid w:val="004C57E2"/>
    <w:rsid w:val="004E2030"/>
    <w:rsid w:val="00517478"/>
    <w:rsid w:val="00525038"/>
    <w:rsid w:val="00532D8E"/>
    <w:rsid w:val="005341CE"/>
    <w:rsid w:val="00546146"/>
    <w:rsid w:val="00595652"/>
    <w:rsid w:val="005F2215"/>
    <w:rsid w:val="00617FBE"/>
    <w:rsid w:val="00623713"/>
    <w:rsid w:val="006250A9"/>
    <w:rsid w:val="00665345"/>
    <w:rsid w:val="00677DBD"/>
    <w:rsid w:val="006A0F70"/>
    <w:rsid w:val="006B122B"/>
    <w:rsid w:val="006E105F"/>
    <w:rsid w:val="00717114"/>
    <w:rsid w:val="00722F9E"/>
    <w:rsid w:val="0072448F"/>
    <w:rsid w:val="007502C1"/>
    <w:rsid w:val="00751487"/>
    <w:rsid w:val="007617DB"/>
    <w:rsid w:val="00772749"/>
    <w:rsid w:val="007D0FD2"/>
    <w:rsid w:val="007E5576"/>
    <w:rsid w:val="008118C9"/>
    <w:rsid w:val="00891E6B"/>
    <w:rsid w:val="008C3478"/>
    <w:rsid w:val="008D10E9"/>
    <w:rsid w:val="008F18CA"/>
    <w:rsid w:val="008F3930"/>
    <w:rsid w:val="008F4636"/>
    <w:rsid w:val="00934BB4"/>
    <w:rsid w:val="009372CA"/>
    <w:rsid w:val="00963A77"/>
    <w:rsid w:val="00985B51"/>
    <w:rsid w:val="00994151"/>
    <w:rsid w:val="009A7BC0"/>
    <w:rsid w:val="009C0769"/>
    <w:rsid w:val="00A02C77"/>
    <w:rsid w:val="00A10CD6"/>
    <w:rsid w:val="00A52818"/>
    <w:rsid w:val="00A537B1"/>
    <w:rsid w:val="00A659B8"/>
    <w:rsid w:val="00A70BA4"/>
    <w:rsid w:val="00A8685A"/>
    <w:rsid w:val="00AA4F1E"/>
    <w:rsid w:val="00AE479A"/>
    <w:rsid w:val="00AF4695"/>
    <w:rsid w:val="00B85E2A"/>
    <w:rsid w:val="00B94FBF"/>
    <w:rsid w:val="00BA2B08"/>
    <w:rsid w:val="00BA5E46"/>
    <w:rsid w:val="00BC555E"/>
    <w:rsid w:val="00BE3E28"/>
    <w:rsid w:val="00BE7716"/>
    <w:rsid w:val="00C01487"/>
    <w:rsid w:val="00C33EF4"/>
    <w:rsid w:val="00C457C7"/>
    <w:rsid w:val="00C731E0"/>
    <w:rsid w:val="00C860BA"/>
    <w:rsid w:val="00C90170"/>
    <w:rsid w:val="00D25F3F"/>
    <w:rsid w:val="00D35C1A"/>
    <w:rsid w:val="00DA2A04"/>
    <w:rsid w:val="00DC61DF"/>
    <w:rsid w:val="00E57124"/>
    <w:rsid w:val="00E61E28"/>
    <w:rsid w:val="00E83BFC"/>
    <w:rsid w:val="00E84AEF"/>
    <w:rsid w:val="00E86777"/>
    <w:rsid w:val="00EA60BF"/>
    <w:rsid w:val="00EC2466"/>
    <w:rsid w:val="00EF26C2"/>
    <w:rsid w:val="00F23C96"/>
    <w:rsid w:val="00F36D9C"/>
    <w:rsid w:val="00F5648B"/>
    <w:rsid w:val="00F56AD8"/>
    <w:rsid w:val="00F66CE6"/>
    <w:rsid w:val="00F774DE"/>
    <w:rsid w:val="09217E72"/>
    <w:rsid w:val="11C52956"/>
    <w:rsid w:val="699F6F5A"/>
    <w:rsid w:val="7DDFC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45E0"/>
  <w15:chartTrackingRefBased/>
  <w15:docId w15:val="{A0E381BE-CA98-40AF-B7FC-39D2FF85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652"/>
    <w:rPr>
      <w:color w:val="19A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86"/>
  </w:style>
  <w:style w:type="paragraph" w:styleId="Footer">
    <w:name w:val="footer"/>
    <w:basedOn w:val="Normal"/>
    <w:link w:val="FooterChar"/>
    <w:uiPriority w:val="99"/>
    <w:unhideWhenUsed/>
    <w:rsid w:val="0002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86"/>
  </w:style>
  <w:style w:type="paragraph" w:styleId="NormalWeb">
    <w:name w:val="Normal (Web)"/>
    <w:basedOn w:val="Normal"/>
    <w:uiPriority w:val="99"/>
    <w:unhideWhenUsed/>
    <w:rsid w:val="0072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4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SD">
      <a:dk1>
        <a:srgbClr val="030D26"/>
      </a:dk1>
      <a:lt1>
        <a:sysClr val="window" lastClr="FFFFFF"/>
      </a:lt1>
      <a:dk2>
        <a:srgbClr val="202F5A"/>
      </a:dk2>
      <a:lt2>
        <a:srgbClr val="F6F4F0"/>
      </a:lt2>
      <a:accent1>
        <a:srgbClr val="294581"/>
      </a:accent1>
      <a:accent2>
        <a:srgbClr val="3972A9"/>
      </a:accent2>
      <a:accent3>
        <a:srgbClr val="A5A5A5"/>
      </a:accent3>
      <a:accent4>
        <a:srgbClr val="DBE8F3"/>
      </a:accent4>
      <a:accent5>
        <a:srgbClr val="F5B544"/>
      </a:accent5>
      <a:accent6>
        <a:srgbClr val="E6F6F1"/>
      </a:accent6>
      <a:hlink>
        <a:srgbClr val="19A88D"/>
      </a:hlink>
      <a:folHlink>
        <a:srgbClr val="9B97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Mahn</dc:creator>
  <cp:keywords/>
  <dc:description/>
  <cp:lastModifiedBy>Elizabeth Finley</cp:lastModifiedBy>
  <cp:revision>2</cp:revision>
  <dcterms:created xsi:type="dcterms:W3CDTF">2023-07-13T21:41:00Z</dcterms:created>
  <dcterms:modified xsi:type="dcterms:W3CDTF">2023-07-13T21:41:00Z</dcterms:modified>
</cp:coreProperties>
</file>