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B88C" w14:textId="1159A6E3" w:rsidR="00156B58" w:rsidRPr="00A33389" w:rsidRDefault="00A33389" w:rsidP="00523E1B">
      <w:pPr>
        <w:spacing w:line="276" w:lineRule="auto"/>
        <w:jc w:val="center"/>
        <w:rPr>
          <w:rFonts w:ascii="Work Sans" w:hAnsi="Work Sans" w:cstheme="minorHAnsi"/>
          <w:b/>
          <w:bCs/>
          <w:color w:val="294581" w:themeColor="accent1"/>
          <w:sz w:val="28"/>
          <w:szCs w:val="28"/>
        </w:rPr>
      </w:pPr>
      <w:r w:rsidRPr="00A33389">
        <w:rPr>
          <w:rFonts w:ascii="Work Sans" w:hAnsi="Work Sans" w:cstheme="minorHAnsi"/>
          <w:b/>
          <w:bCs/>
          <w:color w:val="294581" w:themeColor="accent1"/>
          <w:sz w:val="28"/>
          <w:szCs w:val="28"/>
        </w:rPr>
        <w:t xml:space="preserve">Sample Letter </w:t>
      </w:r>
      <w:r w:rsidR="00D43A17">
        <w:rPr>
          <w:rFonts w:ascii="Work Sans" w:hAnsi="Work Sans" w:cstheme="minorHAnsi"/>
          <w:b/>
          <w:bCs/>
          <w:color w:val="294581" w:themeColor="accent1"/>
          <w:sz w:val="28"/>
          <w:szCs w:val="28"/>
        </w:rPr>
        <w:t xml:space="preserve">on Doxycycline as </w:t>
      </w:r>
      <w:r w:rsidR="00343A67">
        <w:rPr>
          <w:rFonts w:ascii="Work Sans" w:hAnsi="Work Sans" w:cstheme="minorHAnsi"/>
          <w:b/>
          <w:bCs/>
          <w:color w:val="294581" w:themeColor="accent1"/>
          <w:sz w:val="28"/>
          <w:szCs w:val="28"/>
        </w:rPr>
        <w:t xml:space="preserve">STI </w:t>
      </w:r>
      <w:r w:rsidR="00D43A17">
        <w:rPr>
          <w:rFonts w:ascii="Work Sans" w:hAnsi="Work Sans" w:cstheme="minorHAnsi"/>
          <w:b/>
          <w:bCs/>
          <w:color w:val="294581" w:themeColor="accent1"/>
          <w:sz w:val="28"/>
          <w:szCs w:val="28"/>
        </w:rPr>
        <w:t xml:space="preserve">PEP </w:t>
      </w:r>
      <w:r w:rsidRPr="00A33389">
        <w:rPr>
          <w:rFonts w:ascii="Work Sans" w:hAnsi="Work Sans" w:cstheme="minorHAnsi"/>
          <w:b/>
          <w:bCs/>
          <w:color w:val="294581" w:themeColor="accent1"/>
          <w:sz w:val="28"/>
          <w:szCs w:val="28"/>
        </w:rPr>
        <w:t>to Local Pharmacies</w:t>
      </w:r>
    </w:p>
    <w:p w14:paraId="175C1527" w14:textId="77777777" w:rsidR="00156B58" w:rsidRDefault="00156B58" w:rsidP="00523E1B">
      <w:pPr>
        <w:spacing w:line="276" w:lineRule="auto"/>
        <w:rPr>
          <w:rFonts w:ascii="Work Sans" w:hAnsi="Work Sans" w:cstheme="minorHAnsi"/>
        </w:rPr>
      </w:pPr>
    </w:p>
    <w:p w14:paraId="6D3F2017" w14:textId="2AC46246" w:rsidR="00424B98" w:rsidRPr="00523E1B" w:rsidRDefault="00424B98" w:rsidP="00523E1B">
      <w:pPr>
        <w:spacing w:line="276" w:lineRule="auto"/>
        <w:rPr>
          <w:rFonts w:ascii="Work Sans" w:hAnsi="Work Sans" w:cstheme="minorHAnsi"/>
        </w:rPr>
      </w:pPr>
      <w:r w:rsidRPr="00523E1B">
        <w:rPr>
          <w:rFonts w:ascii="Work Sans" w:hAnsi="Work Sans" w:cstheme="minorHAnsi"/>
        </w:rPr>
        <w:t>[DATE]</w:t>
      </w:r>
    </w:p>
    <w:p w14:paraId="3A37FB72" w14:textId="48692229" w:rsidR="00566871" w:rsidRPr="00523E1B" w:rsidRDefault="00566871" w:rsidP="00523E1B">
      <w:pPr>
        <w:spacing w:line="276" w:lineRule="auto"/>
        <w:rPr>
          <w:rFonts w:ascii="Work Sans" w:hAnsi="Work Sans" w:cstheme="minorHAnsi"/>
        </w:rPr>
      </w:pPr>
      <w:r w:rsidRPr="00523E1B">
        <w:rPr>
          <w:rFonts w:ascii="Work Sans" w:hAnsi="Work Sans" w:cstheme="minorHAnsi"/>
        </w:rPr>
        <w:t>Dear</w:t>
      </w:r>
      <w:r w:rsidR="00DE5EE4" w:rsidRPr="00523E1B">
        <w:rPr>
          <w:rFonts w:ascii="Work Sans" w:hAnsi="Work Sans" w:cstheme="minorHAnsi"/>
        </w:rPr>
        <w:t xml:space="preserve"> </w:t>
      </w:r>
      <w:r w:rsidRPr="00523E1B">
        <w:rPr>
          <w:rFonts w:ascii="Work Sans" w:hAnsi="Work Sans" w:cstheme="minorHAnsi"/>
        </w:rPr>
        <w:t>[pharmac</w:t>
      </w:r>
      <w:r w:rsidR="00DE5EE4" w:rsidRPr="00523E1B">
        <w:rPr>
          <w:rFonts w:ascii="Work Sans" w:hAnsi="Work Sans" w:cstheme="minorHAnsi"/>
        </w:rPr>
        <w:t xml:space="preserve">ist or pharmacy </w:t>
      </w:r>
      <w:r w:rsidRPr="00523E1B">
        <w:rPr>
          <w:rFonts w:ascii="Work Sans" w:hAnsi="Work Sans" w:cstheme="minorHAnsi"/>
        </w:rPr>
        <w:t>name],</w:t>
      </w:r>
    </w:p>
    <w:p w14:paraId="6BF38DF1" w14:textId="2AD7334F" w:rsidR="00E91A77" w:rsidRPr="00523E1B" w:rsidRDefault="00566871" w:rsidP="00523E1B">
      <w:pPr>
        <w:spacing w:line="276" w:lineRule="auto"/>
        <w:rPr>
          <w:rFonts w:ascii="Work Sans" w:hAnsi="Work Sans" w:cstheme="minorHAnsi"/>
        </w:rPr>
      </w:pPr>
      <w:r w:rsidRPr="00523E1B">
        <w:rPr>
          <w:rFonts w:ascii="Work Sans" w:hAnsi="Work Sans" w:cstheme="minorHAnsi"/>
        </w:rPr>
        <w:t>Thank you for being a</w:t>
      </w:r>
      <w:r w:rsidR="000377A5" w:rsidRPr="00523E1B">
        <w:rPr>
          <w:rFonts w:ascii="Work Sans" w:hAnsi="Work Sans" w:cstheme="minorHAnsi"/>
        </w:rPr>
        <w:t xml:space="preserve"> valued</w:t>
      </w:r>
      <w:r w:rsidRPr="00523E1B">
        <w:rPr>
          <w:rFonts w:ascii="Work Sans" w:hAnsi="Work Sans" w:cstheme="minorHAnsi"/>
        </w:rPr>
        <w:t xml:space="preserve"> pharmacy</w:t>
      </w:r>
      <w:r w:rsidR="000A5093" w:rsidRPr="00523E1B">
        <w:rPr>
          <w:rFonts w:ascii="Work Sans" w:hAnsi="Work Sans" w:cstheme="minorHAnsi"/>
        </w:rPr>
        <w:t xml:space="preserve"> partner</w:t>
      </w:r>
      <w:r w:rsidR="000377A5" w:rsidRPr="00523E1B">
        <w:rPr>
          <w:rFonts w:ascii="Work Sans" w:hAnsi="Work Sans" w:cstheme="minorHAnsi"/>
        </w:rPr>
        <w:t xml:space="preserve"> in</w:t>
      </w:r>
      <w:r w:rsidRPr="00523E1B">
        <w:rPr>
          <w:rFonts w:ascii="Work Sans" w:hAnsi="Work Sans" w:cstheme="minorHAnsi"/>
        </w:rPr>
        <w:t xml:space="preserve"> our community. </w:t>
      </w:r>
      <w:r w:rsidR="000377A5" w:rsidRPr="00523E1B">
        <w:rPr>
          <w:rFonts w:ascii="Work Sans" w:hAnsi="Work Sans" w:cstheme="minorHAnsi"/>
        </w:rPr>
        <w:t xml:space="preserve">I am writing to </w:t>
      </w:r>
      <w:r w:rsidR="001D600F" w:rsidRPr="00523E1B">
        <w:rPr>
          <w:rFonts w:ascii="Work Sans" w:hAnsi="Work Sans" w:cstheme="minorHAnsi"/>
        </w:rPr>
        <w:t>inform you that ou</w:t>
      </w:r>
      <w:r w:rsidR="00E91A77" w:rsidRPr="00523E1B">
        <w:rPr>
          <w:rFonts w:ascii="Work Sans" w:hAnsi="Work Sans" w:cstheme="minorHAnsi"/>
        </w:rPr>
        <w:t>r organization has recently implemented</w:t>
      </w:r>
      <w:r w:rsidR="00424B98" w:rsidRPr="00523E1B">
        <w:rPr>
          <w:rFonts w:ascii="Work Sans" w:hAnsi="Work Sans" w:cstheme="minorHAnsi"/>
        </w:rPr>
        <w:t xml:space="preserve"> </w:t>
      </w:r>
      <w:r w:rsidR="00584999" w:rsidRPr="00523E1B">
        <w:rPr>
          <w:rFonts w:ascii="Work Sans" w:hAnsi="Work Sans" w:cstheme="minorHAnsi"/>
        </w:rPr>
        <w:t>doxycycline as STI PEP</w:t>
      </w:r>
      <w:r w:rsidR="00424B98" w:rsidRPr="00523E1B">
        <w:rPr>
          <w:rFonts w:ascii="Work Sans" w:hAnsi="Work Sans" w:cstheme="minorHAnsi"/>
        </w:rPr>
        <w:t xml:space="preserve">, a targeted intervention for bacterial STIs that can potentially reduce STI acquisition and transmission. </w:t>
      </w:r>
      <w:r w:rsidR="00584999" w:rsidRPr="00523E1B">
        <w:rPr>
          <w:rFonts w:ascii="Work Sans" w:hAnsi="Work Sans" w:cstheme="minorHAnsi"/>
        </w:rPr>
        <w:t>Doxycycline as STI PEP</w:t>
      </w:r>
      <w:r w:rsidR="00E91A77" w:rsidRPr="00523E1B">
        <w:rPr>
          <w:rFonts w:ascii="Work Sans" w:hAnsi="Work Sans" w:cstheme="minorHAnsi"/>
        </w:rPr>
        <w:t xml:space="preserve"> involves taking 200 mg of doxycycline ideally within 24 hours but no later than 72 hours after condomless oral, anal, or vaginal sex.</w:t>
      </w:r>
    </w:p>
    <w:p w14:paraId="46572DA4" w14:textId="34CF9387" w:rsidR="00314D55" w:rsidRPr="00523E1B" w:rsidRDefault="00314D55" w:rsidP="00523E1B">
      <w:pPr>
        <w:spacing w:line="276" w:lineRule="auto"/>
        <w:rPr>
          <w:rFonts w:ascii="Work Sans" w:hAnsi="Work Sans" w:cstheme="minorHAnsi"/>
        </w:rPr>
      </w:pPr>
      <w:r w:rsidRPr="00523E1B">
        <w:rPr>
          <w:rFonts w:ascii="Work Sans" w:hAnsi="Work Sans" w:cstheme="minorHAnsi"/>
        </w:rPr>
        <w:t xml:space="preserve">An NIH-funded study </w:t>
      </w:r>
      <w:hyperlink r:id="rId7" w:history="1">
        <w:r w:rsidRPr="00523E1B">
          <w:rPr>
            <w:rStyle w:val="Hyperlink"/>
            <w:rFonts w:ascii="Work Sans" w:hAnsi="Work Sans" w:cstheme="minorHAnsi"/>
          </w:rPr>
          <w:t>published</w:t>
        </w:r>
      </w:hyperlink>
      <w:r w:rsidRPr="00523E1B">
        <w:rPr>
          <w:rFonts w:ascii="Work Sans" w:hAnsi="Work Sans" w:cstheme="minorHAnsi"/>
        </w:rPr>
        <w:t xml:space="preserve"> by the New England Journal of Medicine in April 2023 found that </w:t>
      </w:r>
      <w:r w:rsidR="00584999" w:rsidRPr="00523E1B">
        <w:rPr>
          <w:rFonts w:ascii="Work Sans" w:hAnsi="Work Sans" w:cstheme="minorHAnsi"/>
        </w:rPr>
        <w:t>doxycycline as STI PEP</w:t>
      </w:r>
      <w:r w:rsidRPr="00523E1B">
        <w:rPr>
          <w:rFonts w:ascii="Work Sans" w:hAnsi="Work Sans" w:cstheme="minorHAnsi"/>
        </w:rPr>
        <w:t xml:space="preserve"> reduced syphilis by 87%, chlamydia by 88%, and gonorrhea by 55% in individuals taking HIV PrEP. Moreover, </w:t>
      </w:r>
      <w:r w:rsidR="00584999" w:rsidRPr="00523E1B">
        <w:rPr>
          <w:rFonts w:ascii="Work Sans" w:hAnsi="Work Sans" w:cstheme="minorHAnsi"/>
        </w:rPr>
        <w:t>doxycycline as STI PEP</w:t>
      </w:r>
      <w:r w:rsidRPr="00523E1B">
        <w:rPr>
          <w:rFonts w:ascii="Work Sans" w:hAnsi="Work Sans" w:cstheme="minorHAnsi"/>
        </w:rPr>
        <w:t xml:space="preserve"> reduced syphilis by 77%, chlamydia by 74%, and gonorrhea by 57% in people living with HIV (PLWH). More information on the study can be found </w:t>
      </w:r>
      <w:hyperlink r:id="rId8" w:history="1">
        <w:r w:rsidRPr="00523E1B">
          <w:rPr>
            <w:rStyle w:val="Hyperlink"/>
            <w:rFonts w:ascii="Work Sans" w:hAnsi="Work Sans" w:cstheme="minorHAnsi"/>
          </w:rPr>
          <w:t>here</w:t>
        </w:r>
      </w:hyperlink>
      <w:r w:rsidRPr="00523E1B">
        <w:rPr>
          <w:rFonts w:ascii="Work Sans" w:hAnsi="Work Sans" w:cstheme="minorHAnsi"/>
        </w:rPr>
        <w:t xml:space="preserve">.  (Source: </w:t>
      </w:r>
      <w:hyperlink r:id="rId9" w:history="1">
        <w:r w:rsidRPr="00523E1B">
          <w:rPr>
            <w:rStyle w:val="Hyperlink"/>
            <w:rFonts w:ascii="Work Sans" w:hAnsi="Work Sans" w:cstheme="minorHAnsi"/>
          </w:rPr>
          <w:t>N Engl J Med 2023; 388:1296-1306</w:t>
        </w:r>
      </w:hyperlink>
      <w:r w:rsidRPr="00523E1B">
        <w:rPr>
          <w:rFonts w:ascii="Work Sans" w:hAnsi="Work Sans" w:cstheme="minorHAnsi"/>
        </w:rPr>
        <w:t xml:space="preserve">) </w:t>
      </w:r>
      <w:r w:rsidR="00914F2F" w:rsidRPr="00523E1B">
        <w:rPr>
          <w:rFonts w:ascii="Work Sans" w:hAnsi="Work Sans" w:cstheme="minorHAnsi"/>
        </w:rPr>
        <w:t xml:space="preserve">This current efficacy data only applies to gay and bisexual men and </w:t>
      </w:r>
      <w:r w:rsidR="007F3391" w:rsidRPr="00523E1B">
        <w:rPr>
          <w:rFonts w:ascii="Work Sans" w:hAnsi="Work Sans" w:cstheme="minorHAnsi"/>
        </w:rPr>
        <w:t xml:space="preserve">other men who have sex with men (GBMSM) and </w:t>
      </w:r>
      <w:r w:rsidR="00914F2F" w:rsidRPr="00523E1B">
        <w:rPr>
          <w:rFonts w:ascii="Work Sans" w:hAnsi="Work Sans" w:cstheme="minorHAnsi"/>
        </w:rPr>
        <w:t>transgender women; studies among heterosexual cis-gender women are ongoing.</w:t>
      </w:r>
    </w:p>
    <w:p w14:paraId="36E6002F" w14:textId="2AE0E4D8" w:rsidR="006171E4" w:rsidRPr="00523E1B" w:rsidRDefault="00677184" w:rsidP="00523E1B">
      <w:pPr>
        <w:pStyle w:val="Header"/>
        <w:spacing w:line="276" w:lineRule="auto"/>
        <w:rPr>
          <w:rFonts w:ascii="Work Sans" w:hAnsi="Work Sans" w:cstheme="minorHAnsi"/>
        </w:rPr>
      </w:pPr>
      <w:r w:rsidRPr="00523E1B">
        <w:rPr>
          <w:rFonts w:ascii="Work Sans" w:hAnsi="Work Sans" w:cstheme="minorHAnsi"/>
        </w:rPr>
        <w:t xml:space="preserve">You may begin to see </w:t>
      </w:r>
      <w:r w:rsidR="00584999" w:rsidRPr="00523E1B">
        <w:rPr>
          <w:rFonts w:ascii="Work Sans" w:hAnsi="Work Sans" w:cstheme="minorHAnsi"/>
        </w:rPr>
        <w:t>doxycycline as STI PEP</w:t>
      </w:r>
      <w:r w:rsidR="00DB131B" w:rsidRPr="00523E1B">
        <w:rPr>
          <w:rFonts w:ascii="Work Sans" w:hAnsi="Work Sans" w:cstheme="minorHAnsi"/>
        </w:rPr>
        <w:t xml:space="preserve"> </w:t>
      </w:r>
      <w:r w:rsidRPr="00523E1B">
        <w:rPr>
          <w:rFonts w:ascii="Work Sans" w:hAnsi="Work Sans" w:cstheme="minorHAnsi"/>
        </w:rPr>
        <w:t>prescriptions from providers at our clinic for</w:t>
      </w:r>
      <w:r w:rsidR="008B414D" w:rsidRPr="00523E1B">
        <w:rPr>
          <w:rFonts w:ascii="Work Sans" w:hAnsi="Work Sans" w:cstheme="minorHAnsi"/>
        </w:rPr>
        <w:t xml:space="preserve"> [insert dosing </w:t>
      </w:r>
      <w:proofErr w:type="gramStart"/>
      <w:r w:rsidR="008B414D" w:rsidRPr="00523E1B">
        <w:rPr>
          <w:rFonts w:ascii="Work Sans" w:hAnsi="Work Sans" w:cstheme="minorHAnsi"/>
        </w:rPr>
        <w:t>here;</w:t>
      </w:r>
      <w:proofErr w:type="gramEnd"/>
      <w:r w:rsidR="008B414D" w:rsidRPr="00523E1B">
        <w:rPr>
          <w:rFonts w:ascii="Work Sans" w:hAnsi="Work Sans" w:cstheme="minorHAnsi"/>
        </w:rPr>
        <w:t xml:space="preserve"> i.e., </w:t>
      </w:r>
      <w:r w:rsidR="00C0448B" w:rsidRPr="00523E1B">
        <w:rPr>
          <w:rFonts w:ascii="Work Sans" w:hAnsi="Work Sans" w:cstheme="minorHAnsi"/>
        </w:rPr>
        <w:t>30 doses of 200 mg doxycycline with two refills</w:t>
      </w:r>
      <w:r w:rsidR="008B414D" w:rsidRPr="00523E1B">
        <w:rPr>
          <w:rFonts w:ascii="Work Sans" w:hAnsi="Work Sans" w:cstheme="minorHAnsi"/>
        </w:rPr>
        <w:t>].</w:t>
      </w:r>
      <w:r w:rsidR="003F74DA" w:rsidRPr="00523E1B">
        <w:rPr>
          <w:rFonts w:ascii="Work Sans" w:hAnsi="Work Sans" w:cstheme="minorHAnsi"/>
        </w:rPr>
        <w:t xml:space="preserve"> Our providers are monitoring these patients </w:t>
      </w:r>
      <w:r w:rsidR="0071273F" w:rsidRPr="00523E1B">
        <w:rPr>
          <w:rFonts w:ascii="Work Sans" w:hAnsi="Work Sans" w:cstheme="minorHAnsi"/>
        </w:rPr>
        <w:t>closely and</w:t>
      </w:r>
      <w:r w:rsidR="003F74DA" w:rsidRPr="00523E1B">
        <w:rPr>
          <w:rFonts w:ascii="Work Sans" w:hAnsi="Work Sans" w:cstheme="minorHAnsi"/>
        </w:rPr>
        <w:t xml:space="preserve"> will continue to follow-up with them as clinically necessary, including regular STI testing every three months. </w:t>
      </w:r>
      <w:r w:rsidR="0071273F" w:rsidRPr="00523E1B">
        <w:rPr>
          <w:rFonts w:ascii="Work Sans" w:hAnsi="Work Sans" w:cstheme="minorHAnsi"/>
        </w:rPr>
        <w:t xml:space="preserve">If you have any questions about </w:t>
      </w:r>
      <w:r w:rsidR="00584999" w:rsidRPr="00523E1B">
        <w:rPr>
          <w:rFonts w:ascii="Work Sans" w:hAnsi="Work Sans" w:cstheme="minorHAnsi"/>
        </w:rPr>
        <w:t>doxycycline as STI PEP</w:t>
      </w:r>
      <w:r w:rsidR="0071273F" w:rsidRPr="00523E1B">
        <w:rPr>
          <w:rFonts w:ascii="Work Sans" w:hAnsi="Work Sans" w:cstheme="minorHAnsi"/>
        </w:rPr>
        <w:t xml:space="preserve"> or the prescription, please see </w:t>
      </w:r>
      <w:r w:rsidR="00F25AC3" w:rsidRPr="00523E1B">
        <w:rPr>
          <w:rFonts w:ascii="Work Sans" w:hAnsi="Work Sans" w:cstheme="minorHAnsi"/>
        </w:rPr>
        <w:t xml:space="preserve">the </w:t>
      </w:r>
      <w:r w:rsidR="0071273F" w:rsidRPr="00523E1B">
        <w:rPr>
          <w:rFonts w:ascii="Work Sans" w:hAnsi="Work Sans" w:cstheme="minorHAnsi"/>
        </w:rPr>
        <w:t xml:space="preserve">enclosed </w:t>
      </w:r>
      <w:r w:rsidR="006171E4" w:rsidRPr="00523E1B">
        <w:rPr>
          <w:rFonts w:ascii="Work Sans" w:hAnsi="Work Sans" w:cstheme="minorHAnsi"/>
        </w:rPr>
        <w:t>“</w:t>
      </w:r>
      <w:r w:rsidR="004E30FD" w:rsidRPr="00523E1B">
        <w:rPr>
          <w:rFonts w:ascii="Work Sans" w:hAnsi="Work Sans"/>
        </w:rPr>
        <w:t xml:space="preserve">Doxycycline as STI PEP: An Overview for Pharmacists and Providers” </w:t>
      </w:r>
      <w:r w:rsidR="00075A53" w:rsidRPr="00523E1B">
        <w:rPr>
          <w:rFonts w:ascii="Work Sans" w:hAnsi="Work Sans"/>
        </w:rPr>
        <w:t>or contact me at [insert email address here] or [insert phone number here]</w:t>
      </w:r>
      <w:r w:rsidR="008B1592" w:rsidRPr="00523E1B">
        <w:rPr>
          <w:rFonts w:ascii="Work Sans" w:hAnsi="Work Sans"/>
        </w:rPr>
        <w:t xml:space="preserve"> or the ordering provider at [clinic phone number]</w:t>
      </w:r>
      <w:r w:rsidR="00D92089" w:rsidRPr="00523E1B">
        <w:rPr>
          <w:rFonts w:ascii="Work Sans" w:hAnsi="Work Sans"/>
        </w:rPr>
        <w:t xml:space="preserve"> rather than asking the patient about their reason for the prescription. </w:t>
      </w:r>
    </w:p>
    <w:p w14:paraId="1C2F18CE" w14:textId="30A1CE23" w:rsidR="00EC4AD5" w:rsidRPr="00523E1B" w:rsidRDefault="00EC4AD5" w:rsidP="00523E1B">
      <w:pPr>
        <w:spacing w:line="276" w:lineRule="auto"/>
        <w:rPr>
          <w:rFonts w:ascii="Work Sans" w:hAnsi="Work Sans" w:cstheme="minorHAnsi"/>
        </w:rPr>
      </w:pPr>
    </w:p>
    <w:p w14:paraId="1F6FDCD8" w14:textId="195FE7A1" w:rsidR="00677184" w:rsidRPr="00523E1B" w:rsidRDefault="00EC4AD5" w:rsidP="00523E1B">
      <w:pPr>
        <w:spacing w:line="276" w:lineRule="auto"/>
        <w:rPr>
          <w:rFonts w:ascii="Work Sans" w:hAnsi="Work Sans" w:cstheme="minorHAnsi"/>
        </w:rPr>
      </w:pPr>
      <w:r w:rsidRPr="00523E1B">
        <w:rPr>
          <w:rFonts w:ascii="Work Sans" w:hAnsi="Work Sans" w:cstheme="minorHAnsi"/>
        </w:rPr>
        <w:t xml:space="preserve">Thank you in advance for ensuring that our patients continue to have a sex-positive and affirming experience at [name of pharmacy]. </w:t>
      </w:r>
    </w:p>
    <w:p w14:paraId="7DEA9802" w14:textId="77777777" w:rsidR="00677184" w:rsidRPr="00BF1F7D" w:rsidRDefault="00677184" w:rsidP="00523E1B">
      <w:pPr>
        <w:spacing w:line="276" w:lineRule="auto"/>
        <w:rPr>
          <w:rFonts w:ascii="Work Sans" w:hAnsi="Work Sans" w:cstheme="minorHAnsi"/>
        </w:rPr>
      </w:pPr>
    </w:p>
    <w:p w14:paraId="4A465B7C" w14:textId="77777777" w:rsidR="00566871" w:rsidRPr="00BF1F7D" w:rsidRDefault="00566871" w:rsidP="00523E1B">
      <w:pPr>
        <w:spacing w:line="276" w:lineRule="auto"/>
        <w:rPr>
          <w:rFonts w:ascii="Work Sans" w:hAnsi="Work Sans" w:cstheme="minorHAnsi"/>
        </w:rPr>
      </w:pPr>
    </w:p>
    <w:p w14:paraId="23221A63" w14:textId="46C877E7" w:rsidR="00A47EB9" w:rsidRPr="00BF1F7D" w:rsidRDefault="00A47EB9" w:rsidP="00523E1B">
      <w:pPr>
        <w:spacing w:line="276" w:lineRule="auto"/>
        <w:rPr>
          <w:rFonts w:ascii="Work Sans" w:hAnsi="Work Sans" w:cstheme="minorHAnsi"/>
        </w:rPr>
      </w:pPr>
      <w:r w:rsidRPr="00BF1F7D">
        <w:rPr>
          <w:rFonts w:ascii="Work Sans" w:hAnsi="Work Sans" w:cstheme="minorHAnsi"/>
        </w:rPr>
        <w:t>Sincerely,</w:t>
      </w:r>
    </w:p>
    <w:p w14:paraId="46880B9E" w14:textId="3B5E1E24" w:rsidR="009479C3" w:rsidRPr="00BF1F7D" w:rsidRDefault="00A47EB9" w:rsidP="00523E1B">
      <w:pPr>
        <w:spacing w:line="276" w:lineRule="auto"/>
        <w:rPr>
          <w:rFonts w:ascii="Work Sans" w:hAnsi="Work Sans" w:cstheme="minorHAnsi"/>
          <w:b/>
          <w:bCs/>
        </w:rPr>
      </w:pPr>
      <w:r w:rsidRPr="00BF1F7D">
        <w:rPr>
          <w:rFonts w:ascii="Work Sans" w:hAnsi="Work Sans" w:cstheme="minorHAnsi"/>
          <w:b/>
          <w:bCs/>
        </w:rPr>
        <w:t>[medical director/clinic manager</w:t>
      </w:r>
      <w:r w:rsidRPr="00BF1F7D">
        <w:rPr>
          <w:rFonts w:ascii="Work Sans" w:hAnsi="Work Sans" w:cstheme="minorHAnsi"/>
        </w:rPr>
        <w:t>]</w:t>
      </w:r>
    </w:p>
    <w:sectPr w:rsidR="009479C3" w:rsidRPr="00BF1F7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D029" w14:textId="77777777" w:rsidR="006E1755" w:rsidRDefault="006E1755" w:rsidP="00CB3181">
      <w:pPr>
        <w:spacing w:after="0" w:line="240" w:lineRule="auto"/>
      </w:pPr>
      <w:r>
        <w:separator/>
      </w:r>
    </w:p>
  </w:endnote>
  <w:endnote w:type="continuationSeparator" w:id="0">
    <w:p w14:paraId="38D933A3" w14:textId="77777777" w:rsidR="006E1755" w:rsidRDefault="006E1755" w:rsidP="00CB3181">
      <w:pPr>
        <w:spacing w:after="0" w:line="240" w:lineRule="auto"/>
      </w:pPr>
      <w:r>
        <w:continuationSeparator/>
      </w:r>
    </w:p>
  </w:endnote>
  <w:endnote w:type="continuationNotice" w:id="1">
    <w:p w14:paraId="0B1737F8" w14:textId="77777777" w:rsidR="006E1755" w:rsidRDefault="006E17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23AF" w14:textId="33938C2C" w:rsidR="00CB3181" w:rsidRDefault="00CB318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8659" w14:textId="77777777" w:rsidR="006E1755" w:rsidRDefault="006E1755" w:rsidP="00CB3181">
      <w:pPr>
        <w:spacing w:after="0" w:line="240" w:lineRule="auto"/>
      </w:pPr>
      <w:r>
        <w:separator/>
      </w:r>
    </w:p>
  </w:footnote>
  <w:footnote w:type="continuationSeparator" w:id="0">
    <w:p w14:paraId="41ED6F11" w14:textId="77777777" w:rsidR="006E1755" w:rsidRDefault="006E1755" w:rsidP="00CB3181">
      <w:pPr>
        <w:spacing w:after="0" w:line="240" w:lineRule="auto"/>
      </w:pPr>
      <w:r>
        <w:continuationSeparator/>
      </w:r>
    </w:p>
  </w:footnote>
  <w:footnote w:type="continuationNotice" w:id="1">
    <w:p w14:paraId="17AFE58F" w14:textId="77777777" w:rsidR="006E1755" w:rsidRDefault="006E17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E898" w14:textId="77777777" w:rsidR="00156B58" w:rsidRDefault="00156B58" w:rsidP="00156B58">
    <w:pPr>
      <w:pStyle w:val="Header"/>
      <w:rPr>
        <w:b/>
        <w:bCs/>
        <w:noProof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5564FF45" wp14:editId="1EA1E1FF">
          <wp:simplePos x="0" y="0"/>
          <wp:positionH relativeFrom="column">
            <wp:posOffset>4572000</wp:posOffset>
          </wp:positionH>
          <wp:positionV relativeFrom="paragraph">
            <wp:posOffset>0</wp:posOffset>
          </wp:positionV>
          <wp:extent cx="1343660" cy="530225"/>
          <wp:effectExtent l="0" t="0" r="8890" b="3175"/>
          <wp:wrapNone/>
          <wp:docPr id="257624391" name="Picture 257624391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624391" name="Picture 2" descr="A black background with a black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inline distT="0" distB="0" distL="0" distR="0" wp14:anchorId="4367A4A4" wp14:editId="7A23F979">
          <wp:extent cx="1343025" cy="526449"/>
          <wp:effectExtent l="0" t="0" r="0" b="6985"/>
          <wp:docPr id="182675896" name="Picture 182675896" descr="A logo with blue and whit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75896" name="Picture 1" descr="A logo with blue and white dot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832" cy="54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1E876" w14:textId="77777777" w:rsidR="00156B58" w:rsidRDefault="00156B58" w:rsidP="00156B58">
    <w:pPr>
      <w:pStyle w:val="Header"/>
      <w:rPr>
        <w:b/>
        <w:bCs/>
        <w:noProof/>
      </w:rPr>
    </w:pPr>
  </w:p>
  <w:p w14:paraId="174BA8B8" w14:textId="641754BE" w:rsidR="00CB3181" w:rsidRPr="00C22936" w:rsidRDefault="00CB3181" w:rsidP="00156B58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41D"/>
    <w:multiLevelType w:val="hybridMultilevel"/>
    <w:tmpl w:val="7C066C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8E88"/>
    <w:multiLevelType w:val="hybridMultilevel"/>
    <w:tmpl w:val="CB065C7E"/>
    <w:lvl w:ilvl="0" w:tplc="B1103476">
      <w:start w:val="1"/>
      <w:numFmt w:val="upperRoman"/>
      <w:lvlText w:val="%1."/>
      <w:lvlJc w:val="right"/>
      <w:pPr>
        <w:ind w:left="720" w:hanging="360"/>
      </w:pPr>
    </w:lvl>
    <w:lvl w:ilvl="1" w:tplc="EFD0BA16">
      <w:start w:val="1"/>
      <w:numFmt w:val="lowerLetter"/>
      <w:lvlText w:val="%2."/>
      <w:lvlJc w:val="left"/>
      <w:pPr>
        <w:ind w:left="1440" w:hanging="360"/>
      </w:pPr>
    </w:lvl>
    <w:lvl w:ilvl="2" w:tplc="844E0D8A">
      <w:start w:val="1"/>
      <w:numFmt w:val="lowerRoman"/>
      <w:lvlText w:val="%3."/>
      <w:lvlJc w:val="right"/>
      <w:pPr>
        <w:ind w:left="2160" w:hanging="180"/>
      </w:pPr>
    </w:lvl>
    <w:lvl w:ilvl="3" w:tplc="E95E7A8C">
      <w:start w:val="1"/>
      <w:numFmt w:val="decimal"/>
      <w:lvlText w:val="%4."/>
      <w:lvlJc w:val="left"/>
      <w:pPr>
        <w:ind w:left="2880" w:hanging="360"/>
      </w:pPr>
    </w:lvl>
    <w:lvl w:ilvl="4" w:tplc="F22E924A">
      <w:start w:val="1"/>
      <w:numFmt w:val="lowerLetter"/>
      <w:lvlText w:val="%5."/>
      <w:lvlJc w:val="left"/>
      <w:pPr>
        <w:ind w:left="3600" w:hanging="360"/>
      </w:pPr>
    </w:lvl>
    <w:lvl w:ilvl="5" w:tplc="89B08520">
      <w:start w:val="1"/>
      <w:numFmt w:val="lowerRoman"/>
      <w:lvlText w:val="%6."/>
      <w:lvlJc w:val="right"/>
      <w:pPr>
        <w:ind w:left="4320" w:hanging="180"/>
      </w:pPr>
    </w:lvl>
    <w:lvl w:ilvl="6" w:tplc="9C1AF970">
      <w:start w:val="1"/>
      <w:numFmt w:val="decimal"/>
      <w:lvlText w:val="%7."/>
      <w:lvlJc w:val="left"/>
      <w:pPr>
        <w:ind w:left="5040" w:hanging="360"/>
      </w:pPr>
    </w:lvl>
    <w:lvl w:ilvl="7" w:tplc="F59E7346">
      <w:start w:val="1"/>
      <w:numFmt w:val="lowerLetter"/>
      <w:lvlText w:val="%8."/>
      <w:lvlJc w:val="left"/>
      <w:pPr>
        <w:ind w:left="5760" w:hanging="360"/>
      </w:pPr>
    </w:lvl>
    <w:lvl w:ilvl="8" w:tplc="DF1CF44A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3821">
    <w:abstractNumId w:val="1"/>
  </w:num>
  <w:num w:numId="2" w16cid:durableId="172517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0F"/>
    <w:rsid w:val="000377A5"/>
    <w:rsid w:val="00041FCB"/>
    <w:rsid w:val="00075A53"/>
    <w:rsid w:val="000A12F3"/>
    <w:rsid w:val="000A3CE9"/>
    <w:rsid w:val="000A5093"/>
    <w:rsid w:val="00156B58"/>
    <w:rsid w:val="001718DF"/>
    <w:rsid w:val="001B0DE2"/>
    <w:rsid w:val="001B3A96"/>
    <w:rsid w:val="001D33BC"/>
    <w:rsid w:val="001D34E0"/>
    <w:rsid w:val="001D600F"/>
    <w:rsid w:val="002C0B64"/>
    <w:rsid w:val="00314D55"/>
    <w:rsid w:val="00343A67"/>
    <w:rsid w:val="003A14EE"/>
    <w:rsid w:val="003F74DA"/>
    <w:rsid w:val="00424B98"/>
    <w:rsid w:val="00456E2D"/>
    <w:rsid w:val="004E30FD"/>
    <w:rsid w:val="00523E1B"/>
    <w:rsid w:val="00566871"/>
    <w:rsid w:val="00584999"/>
    <w:rsid w:val="005E465C"/>
    <w:rsid w:val="006171E4"/>
    <w:rsid w:val="0066613D"/>
    <w:rsid w:val="00673C31"/>
    <w:rsid w:val="00677184"/>
    <w:rsid w:val="006E1755"/>
    <w:rsid w:val="0071273F"/>
    <w:rsid w:val="007934E7"/>
    <w:rsid w:val="007F3391"/>
    <w:rsid w:val="00833EB1"/>
    <w:rsid w:val="00886B0D"/>
    <w:rsid w:val="008B1592"/>
    <w:rsid w:val="008B414D"/>
    <w:rsid w:val="008C3478"/>
    <w:rsid w:val="008D2928"/>
    <w:rsid w:val="00914F2F"/>
    <w:rsid w:val="009479C3"/>
    <w:rsid w:val="009C6EDB"/>
    <w:rsid w:val="009F2A74"/>
    <w:rsid w:val="00A33389"/>
    <w:rsid w:val="00A47EB9"/>
    <w:rsid w:val="00A93B44"/>
    <w:rsid w:val="00AB2EE5"/>
    <w:rsid w:val="00AE6F5C"/>
    <w:rsid w:val="00B21ED7"/>
    <w:rsid w:val="00B27995"/>
    <w:rsid w:val="00B30E5B"/>
    <w:rsid w:val="00B55677"/>
    <w:rsid w:val="00BF1F7D"/>
    <w:rsid w:val="00BF75C1"/>
    <w:rsid w:val="00C0448B"/>
    <w:rsid w:val="00C22936"/>
    <w:rsid w:val="00C731E0"/>
    <w:rsid w:val="00C95AD8"/>
    <w:rsid w:val="00CB3181"/>
    <w:rsid w:val="00D131F0"/>
    <w:rsid w:val="00D3586C"/>
    <w:rsid w:val="00D43A17"/>
    <w:rsid w:val="00D546A2"/>
    <w:rsid w:val="00D7393D"/>
    <w:rsid w:val="00D73BDD"/>
    <w:rsid w:val="00D92089"/>
    <w:rsid w:val="00DB131B"/>
    <w:rsid w:val="00DE5EE4"/>
    <w:rsid w:val="00DF0CAA"/>
    <w:rsid w:val="00E20B4B"/>
    <w:rsid w:val="00E91A77"/>
    <w:rsid w:val="00E91B0D"/>
    <w:rsid w:val="00E96688"/>
    <w:rsid w:val="00EA47E6"/>
    <w:rsid w:val="00EC4AD5"/>
    <w:rsid w:val="00EE645B"/>
    <w:rsid w:val="00EF1A0F"/>
    <w:rsid w:val="00F25AC3"/>
    <w:rsid w:val="00F40516"/>
    <w:rsid w:val="00FC32E2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C1F5"/>
  <w15:chartTrackingRefBased/>
  <w15:docId w15:val="{5D3CAA2B-C55C-45CF-AF4D-DE8860D0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81"/>
  </w:style>
  <w:style w:type="paragraph" w:styleId="Footer">
    <w:name w:val="footer"/>
    <w:basedOn w:val="Normal"/>
    <w:link w:val="FooterChar"/>
    <w:uiPriority w:val="99"/>
    <w:unhideWhenUsed/>
    <w:rsid w:val="00CB3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81"/>
  </w:style>
  <w:style w:type="paragraph" w:styleId="ListParagraph">
    <w:name w:val="List Paragraph"/>
    <w:basedOn w:val="Normal"/>
    <w:uiPriority w:val="34"/>
    <w:qFormat/>
    <w:rsid w:val="00EE6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45B"/>
    <w:rPr>
      <w:color w:val="19A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31F0"/>
    <w:rPr>
      <w:color w:val="9B979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jm.org/doi/full/10.1056/NEJMoa22119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jm.org/doi/full/10.1056/NEJMoa22119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ejm.org/doi/full/10.1056/NEJMoa221193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SD">
      <a:dk1>
        <a:srgbClr val="030D26"/>
      </a:dk1>
      <a:lt1>
        <a:sysClr val="window" lastClr="FFFFFF"/>
      </a:lt1>
      <a:dk2>
        <a:srgbClr val="202F5A"/>
      </a:dk2>
      <a:lt2>
        <a:srgbClr val="F6F4F0"/>
      </a:lt2>
      <a:accent1>
        <a:srgbClr val="294581"/>
      </a:accent1>
      <a:accent2>
        <a:srgbClr val="3972A9"/>
      </a:accent2>
      <a:accent3>
        <a:srgbClr val="A5A5A5"/>
      </a:accent3>
      <a:accent4>
        <a:srgbClr val="DBE8F3"/>
      </a:accent4>
      <a:accent5>
        <a:srgbClr val="F5B544"/>
      </a:accent5>
      <a:accent6>
        <a:srgbClr val="E6F6F1"/>
      </a:accent6>
      <a:hlink>
        <a:srgbClr val="19A88D"/>
      </a:hlink>
      <a:folHlink>
        <a:srgbClr val="9B97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Links>
    <vt:vector size="18" baseType="variant"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https://www.nejm.org/doi/full/10.1056/NEJMoa2211934</vt:lpwstr>
      </vt:variant>
      <vt:variant>
        <vt:lpwstr/>
      </vt:variant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https://www.nejm.org/doi/full/10.1056/NEJMoa2211934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https://www.nejm.org/doi/full/10.1056/NEJMoa2211934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Mahn</dc:creator>
  <cp:keywords/>
  <dc:description/>
  <cp:lastModifiedBy>Elizabeth Finley</cp:lastModifiedBy>
  <cp:revision>3</cp:revision>
  <dcterms:created xsi:type="dcterms:W3CDTF">2023-07-14T18:43:00Z</dcterms:created>
  <dcterms:modified xsi:type="dcterms:W3CDTF">2023-07-14T18:45:00Z</dcterms:modified>
</cp:coreProperties>
</file>