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067E" w14:textId="2095BDFD" w:rsidR="007411CD" w:rsidRDefault="002D24B7" w:rsidP="00C761E5">
      <w:pPr>
        <w:spacing w:line="276" w:lineRule="auto"/>
        <w:jc w:val="center"/>
        <w:rPr>
          <w:rFonts w:ascii="Work Sans" w:hAnsi="Work Sans" w:cs="Times New Roman"/>
          <w:b/>
          <w:bCs/>
          <w:color w:val="294581" w:themeColor="accent1"/>
          <w:sz w:val="28"/>
          <w:szCs w:val="28"/>
        </w:rPr>
      </w:pPr>
      <w:r>
        <w:rPr>
          <w:rFonts w:ascii="Work Sans" w:hAnsi="Work Sans" w:cs="Times New Roman"/>
          <w:b/>
          <w:bCs/>
          <w:color w:val="294581" w:themeColor="accent1"/>
          <w:sz w:val="28"/>
          <w:szCs w:val="28"/>
        </w:rPr>
        <w:t xml:space="preserve">Template: Guidelines for Doxycycline as </w:t>
      </w:r>
      <w:r w:rsidR="388FB4FD" w:rsidRPr="2B8ACC4C">
        <w:rPr>
          <w:rFonts w:ascii="Work Sans" w:hAnsi="Work Sans" w:cs="Times New Roman"/>
          <w:b/>
          <w:bCs/>
          <w:color w:val="294581" w:themeColor="accent1"/>
          <w:sz w:val="28"/>
          <w:szCs w:val="28"/>
        </w:rPr>
        <w:t xml:space="preserve">STI </w:t>
      </w:r>
      <w:r>
        <w:rPr>
          <w:rFonts w:ascii="Work Sans" w:hAnsi="Work Sans" w:cs="Times New Roman"/>
          <w:b/>
          <w:bCs/>
          <w:color w:val="294581" w:themeColor="accent1"/>
          <w:sz w:val="28"/>
          <w:szCs w:val="28"/>
        </w:rPr>
        <w:t>PEP</w:t>
      </w:r>
    </w:p>
    <w:p w14:paraId="3A88046F" w14:textId="77777777" w:rsidR="00550A99" w:rsidRPr="00EB0730" w:rsidRDefault="00550A99" w:rsidP="00C761E5">
      <w:pPr>
        <w:spacing w:line="276" w:lineRule="auto"/>
        <w:jc w:val="center"/>
        <w:rPr>
          <w:rFonts w:ascii="Work Sans" w:hAnsi="Work Sans" w:cs="Times New Roman"/>
          <w:b/>
          <w:bCs/>
          <w:color w:val="294581" w:themeColor="accent1"/>
          <w:sz w:val="28"/>
          <w:szCs w:val="28"/>
        </w:rPr>
      </w:pPr>
    </w:p>
    <w:p w14:paraId="0538947F" w14:textId="450CDF0C" w:rsidR="00172EC8" w:rsidRPr="00E81CD0" w:rsidRDefault="00172EC8" w:rsidP="00C761E5">
      <w:pPr>
        <w:spacing w:line="276" w:lineRule="auto"/>
        <w:rPr>
          <w:rFonts w:ascii="Work Sans" w:hAnsi="Work Sans" w:cs="Times New Roman"/>
          <w:b/>
          <w:bCs/>
          <w:color w:val="294581" w:themeColor="accent1"/>
          <w:sz w:val="24"/>
          <w:szCs w:val="24"/>
        </w:rPr>
      </w:pPr>
      <w:r w:rsidRPr="00E81CD0">
        <w:rPr>
          <w:rFonts w:ascii="Work Sans" w:hAnsi="Work Sans" w:cs="Times New Roman"/>
          <w:b/>
          <w:bCs/>
          <w:color w:val="294581" w:themeColor="accent1"/>
          <w:sz w:val="24"/>
          <w:szCs w:val="24"/>
        </w:rPr>
        <w:t>Background</w:t>
      </w:r>
      <w:r w:rsidR="00D53ED1" w:rsidRPr="00E81CD0">
        <w:rPr>
          <w:rFonts w:ascii="Work Sans" w:hAnsi="Work Sans" w:cs="Times New Roman"/>
          <w:b/>
          <w:bCs/>
          <w:color w:val="294581" w:themeColor="accent1"/>
          <w:sz w:val="24"/>
          <w:szCs w:val="24"/>
        </w:rPr>
        <w:t xml:space="preserve">/Efficacy </w:t>
      </w:r>
    </w:p>
    <w:p w14:paraId="38110FB2" w14:textId="2B4AF14F" w:rsidR="001D37B3" w:rsidRPr="00C761E5" w:rsidRDefault="00D47132" w:rsidP="00C761E5">
      <w:pPr>
        <w:spacing w:line="276" w:lineRule="auto"/>
        <w:rPr>
          <w:rFonts w:ascii="Work Sans" w:hAnsi="Work Sans" w:cs="Times New Roman"/>
        </w:rPr>
      </w:pPr>
      <w:r w:rsidRPr="006E222D">
        <w:rPr>
          <w:rFonts w:ascii="Work Sans" w:hAnsi="Work Sans" w:cs="Times New Roman"/>
        </w:rPr>
        <w:t>More than 2.5 million cases of chlamydia, gonorrhea, and syphilis were reported in 2021.</w:t>
      </w:r>
      <w:r w:rsidR="00A63849" w:rsidRPr="006E222D">
        <w:rPr>
          <w:rFonts w:ascii="Work Sans" w:hAnsi="Work Sans" w:cs="Times New Roman"/>
        </w:rPr>
        <w:t xml:space="preserve"> </w:t>
      </w:r>
      <w:r w:rsidR="00A63849" w:rsidRPr="529BC1D0">
        <w:rPr>
          <w:rFonts w:ascii="Work Sans" w:hAnsi="Work Sans" w:cs="Times New Roman"/>
        </w:rPr>
        <w:t>(</w:t>
      </w:r>
      <w:hyperlink r:id="rId7">
        <w:r w:rsidR="00A63849" w:rsidRPr="529BC1D0">
          <w:rPr>
            <w:rStyle w:val="Hyperlink"/>
            <w:rFonts w:ascii="Work Sans" w:hAnsi="Work Sans" w:cs="Times New Roman"/>
          </w:rPr>
          <w:t>Sexually Transmitted Disease Surveillance 2021; CDC</w:t>
        </w:r>
      </w:hyperlink>
      <w:r w:rsidR="00A63849" w:rsidRPr="006E222D">
        <w:rPr>
          <w:rFonts w:ascii="Work Sans" w:hAnsi="Work Sans" w:cs="Times New Roman"/>
        </w:rPr>
        <w:t>)</w:t>
      </w:r>
      <w:r w:rsidR="0017128D" w:rsidRPr="006E222D">
        <w:rPr>
          <w:rFonts w:ascii="Work Sans" w:hAnsi="Work Sans" w:cs="Times New Roman"/>
        </w:rPr>
        <w:t xml:space="preserve"> </w:t>
      </w:r>
      <w:r w:rsidR="009031DD" w:rsidRPr="006E222D">
        <w:rPr>
          <w:rFonts w:ascii="Work Sans" w:hAnsi="Work Sans" w:cs="Times New Roman"/>
        </w:rPr>
        <w:t xml:space="preserve">From 2020 to 2021, reported U.S. syphilis cases increased by 32%, </w:t>
      </w:r>
      <w:r w:rsidR="004A4797" w:rsidRPr="006E222D">
        <w:rPr>
          <w:rFonts w:ascii="Work Sans" w:hAnsi="Work Sans" w:cs="Times New Roman"/>
        </w:rPr>
        <w:t xml:space="preserve">gonorrhea rates increased more than 4%, and chlamydia increased nearly 4%. </w:t>
      </w:r>
      <w:r w:rsidR="00DE1721" w:rsidRPr="529BC1D0">
        <w:rPr>
          <w:rFonts w:ascii="Work Sans" w:hAnsi="Work Sans" w:cs="Times New Roman"/>
        </w:rPr>
        <w:t>(</w:t>
      </w:r>
      <w:hyperlink r:id="rId8">
        <w:r w:rsidR="00DE1721" w:rsidRPr="529BC1D0">
          <w:rPr>
            <w:rStyle w:val="Hyperlink"/>
            <w:rFonts w:ascii="Work Sans" w:hAnsi="Work Sans" w:cs="Times New Roman"/>
          </w:rPr>
          <w:t>Sexually Transmitted Disease Surveillance 2021; CDC</w:t>
        </w:r>
      </w:hyperlink>
      <w:r w:rsidR="00DE1721" w:rsidRPr="006E222D">
        <w:rPr>
          <w:rFonts w:ascii="Work Sans" w:hAnsi="Work Sans" w:cs="Times New Roman"/>
        </w:rPr>
        <w:t xml:space="preserve">) </w:t>
      </w:r>
      <w:r w:rsidR="00D60C1C" w:rsidRPr="006E222D">
        <w:rPr>
          <w:rFonts w:ascii="Work Sans" w:hAnsi="Work Sans" w:cs="Times New Roman"/>
        </w:rPr>
        <w:t xml:space="preserve">An NIH-funded study </w:t>
      </w:r>
      <w:hyperlink r:id="rId9">
        <w:r w:rsidR="00FD79BD" w:rsidRPr="529BC1D0">
          <w:rPr>
            <w:rStyle w:val="Hyperlink"/>
            <w:rFonts w:ascii="Work Sans" w:hAnsi="Work Sans" w:cs="Times New Roman"/>
          </w:rPr>
          <w:t>published</w:t>
        </w:r>
      </w:hyperlink>
      <w:r w:rsidR="00FD79BD" w:rsidRPr="006E222D">
        <w:rPr>
          <w:rFonts w:ascii="Work Sans" w:hAnsi="Work Sans" w:cs="Times New Roman"/>
        </w:rPr>
        <w:t xml:space="preserve"> by the New England Journal of Medicine in April 2023 found</w:t>
      </w:r>
      <w:r w:rsidR="00334140" w:rsidRPr="006E222D">
        <w:rPr>
          <w:rFonts w:ascii="Work Sans" w:hAnsi="Work Sans" w:cs="Times New Roman"/>
        </w:rPr>
        <w:t xml:space="preserve"> that </w:t>
      </w:r>
      <w:r w:rsidR="00170A8C" w:rsidRPr="006E222D">
        <w:rPr>
          <w:rFonts w:ascii="Work Sans" w:hAnsi="Work Sans" w:cs="Times New Roman"/>
        </w:rPr>
        <w:t xml:space="preserve">doxycycline as post-exposure prophylaxis </w:t>
      </w:r>
      <w:r w:rsidR="000F7933" w:rsidRPr="006E222D">
        <w:rPr>
          <w:rFonts w:ascii="Work Sans" w:hAnsi="Work Sans" w:cs="Times New Roman"/>
        </w:rPr>
        <w:t xml:space="preserve">(PEP) </w:t>
      </w:r>
      <w:r w:rsidR="00334140" w:rsidRPr="006E222D">
        <w:rPr>
          <w:rFonts w:ascii="Work Sans" w:hAnsi="Work Sans" w:cs="Times New Roman"/>
        </w:rPr>
        <w:t xml:space="preserve">reduced syphilis by 87%, chlamydia by 88%, and gonorrhea by 55% in individuals taking HIV </w:t>
      </w:r>
      <w:proofErr w:type="spellStart"/>
      <w:r w:rsidR="00334140" w:rsidRPr="006E222D">
        <w:rPr>
          <w:rFonts w:ascii="Work Sans" w:hAnsi="Work Sans" w:cs="Times New Roman"/>
        </w:rPr>
        <w:t>PrEP</w:t>
      </w:r>
      <w:r w:rsidR="0009518F" w:rsidRPr="006E222D">
        <w:rPr>
          <w:rFonts w:ascii="Work Sans" w:hAnsi="Work Sans" w:cs="Times New Roman"/>
        </w:rPr>
        <w:t>.</w:t>
      </w:r>
      <w:proofErr w:type="spellEnd"/>
      <w:r w:rsidR="0009518F" w:rsidRPr="006E222D">
        <w:rPr>
          <w:rFonts w:ascii="Work Sans" w:hAnsi="Work Sans" w:cs="Times New Roman"/>
        </w:rPr>
        <w:t xml:space="preserve"> Moreover, </w:t>
      </w:r>
      <w:r w:rsidR="00BA3261" w:rsidRPr="006E222D">
        <w:rPr>
          <w:rFonts w:ascii="Work Sans" w:hAnsi="Work Sans" w:cs="Times New Roman"/>
        </w:rPr>
        <w:t xml:space="preserve">doxycycline as </w:t>
      </w:r>
      <w:r w:rsidR="576B4A3D" w:rsidRPr="529BC1D0">
        <w:rPr>
          <w:rFonts w:ascii="Work Sans" w:hAnsi="Work Sans" w:cs="Times New Roman"/>
        </w:rPr>
        <w:t xml:space="preserve">STI </w:t>
      </w:r>
      <w:r w:rsidR="00BA3261" w:rsidRPr="006E222D">
        <w:rPr>
          <w:rFonts w:ascii="Work Sans" w:hAnsi="Work Sans" w:cs="Times New Roman"/>
        </w:rPr>
        <w:t>PEP</w:t>
      </w:r>
      <w:r w:rsidR="0009518F" w:rsidRPr="006E222D">
        <w:rPr>
          <w:rFonts w:ascii="Work Sans" w:hAnsi="Work Sans" w:cs="Times New Roman"/>
        </w:rPr>
        <w:t xml:space="preserve"> reduced syphilis by 77%, chlamydia by 74%,</w:t>
      </w:r>
      <w:r w:rsidR="00AD532D" w:rsidRPr="006E222D">
        <w:rPr>
          <w:rFonts w:ascii="Work Sans" w:hAnsi="Work Sans" w:cs="Times New Roman"/>
        </w:rPr>
        <w:t xml:space="preserve"> a</w:t>
      </w:r>
      <w:r w:rsidR="0009518F" w:rsidRPr="006E222D">
        <w:rPr>
          <w:rFonts w:ascii="Work Sans" w:hAnsi="Work Sans" w:cs="Times New Roman"/>
        </w:rPr>
        <w:t xml:space="preserve">nd gonorrhea by 57% in people living with HIV (PLWH). </w:t>
      </w:r>
      <w:r w:rsidR="00E03B64" w:rsidRPr="529BC1D0">
        <w:rPr>
          <w:rFonts w:ascii="Work Sans" w:hAnsi="Work Sans" w:cs="Times New Roman"/>
        </w:rPr>
        <w:t>(</w:t>
      </w:r>
      <w:hyperlink r:id="rId10">
        <w:r w:rsidR="00E03B64" w:rsidRPr="529BC1D0">
          <w:rPr>
            <w:rStyle w:val="Hyperlink"/>
            <w:rFonts w:ascii="Work Sans" w:hAnsi="Work Sans" w:cs="Times New Roman"/>
          </w:rPr>
          <w:t>N Engl J Med 2023; 388:1296-1306</w:t>
        </w:r>
      </w:hyperlink>
      <w:r w:rsidR="00E03B64" w:rsidRPr="006E222D">
        <w:rPr>
          <w:rFonts w:ascii="Work Sans" w:hAnsi="Work Sans" w:cs="Times New Roman"/>
        </w:rPr>
        <w:t xml:space="preserve">) </w:t>
      </w:r>
      <w:r w:rsidR="00C01CF2" w:rsidRPr="006E222D">
        <w:rPr>
          <w:rFonts w:ascii="Work Sans" w:hAnsi="Work Sans" w:cs="Times New Roman"/>
        </w:rPr>
        <w:t xml:space="preserve">Current Efficacy data only applies to adult gay and bisexual men and transgender women. Studies among heterosexual cisgender women are ongoing. </w:t>
      </w:r>
    </w:p>
    <w:p w14:paraId="387BE088" w14:textId="150A07B9" w:rsidR="00172EC8" w:rsidRPr="001A4DFD" w:rsidRDefault="00172EC8" w:rsidP="00C761E5">
      <w:pPr>
        <w:spacing w:line="276" w:lineRule="auto"/>
        <w:rPr>
          <w:rFonts w:ascii="Work Sans" w:hAnsi="Work Sans" w:cs="Times New Roman"/>
          <w:b/>
          <w:bCs/>
          <w:color w:val="294581" w:themeColor="accent1"/>
          <w:sz w:val="24"/>
          <w:szCs w:val="24"/>
        </w:rPr>
      </w:pPr>
      <w:r w:rsidRPr="001A4DFD">
        <w:rPr>
          <w:rFonts w:ascii="Work Sans" w:hAnsi="Work Sans" w:cs="Times New Roman"/>
          <w:b/>
          <w:bCs/>
          <w:color w:val="294581" w:themeColor="accent1"/>
          <w:sz w:val="24"/>
          <w:szCs w:val="24"/>
        </w:rPr>
        <w:t>Dosing</w:t>
      </w:r>
    </w:p>
    <w:p w14:paraId="206BDEF1" w14:textId="1828CADA" w:rsidR="00595AB0" w:rsidRPr="00AC5330" w:rsidRDefault="00392506" w:rsidP="00C761E5">
      <w:pPr>
        <w:pStyle w:val="ListParagraph"/>
        <w:numPr>
          <w:ilvl w:val="0"/>
          <w:numId w:val="4"/>
        </w:numPr>
        <w:spacing w:after="0" w:line="276" w:lineRule="auto"/>
        <w:rPr>
          <w:rFonts w:ascii="Work Sans" w:hAnsi="Work Sans"/>
        </w:rPr>
      </w:pPr>
      <w:r w:rsidRPr="00AC5330">
        <w:rPr>
          <w:rFonts w:ascii="Work Sans" w:hAnsi="Work Sans"/>
        </w:rPr>
        <w:t xml:space="preserve">200 mg of doxycycline should be taken ideally within 24 hours but no later than 72 hours after condomless oral, </w:t>
      </w:r>
      <w:proofErr w:type="gramStart"/>
      <w:r w:rsidRPr="00AC5330">
        <w:rPr>
          <w:rFonts w:ascii="Work Sans" w:hAnsi="Work Sans"/>
        </w:rPr>
        <w:t>anal</w:t>
      </w:r>
      <w:proofErr w:type="gramEnd"/>
      <w:r w:rsidRPr="00AC5330">
        <w:rPr>
          <w:rFonts w:ascii="Work Sans" w:hAnsi="Work Sans"/>
        </w:rPr>
        <w:t xml:space="preserve"> or vaginal sex</w:t>
      </w:r>
      <w:r w:rsidR="00AC5330" w:rsidRPr="00AC5330">
        <w:rPr>
          <w:rFonts w:ascii="Work Sans" w:hAnsi="Work Sans"/>
        </w:rPr>
        <w:t>.</w:t>
      </w:r>
    </w:p>
    <w:p w14:paraId="7D444659" w14:textId="77777777" w:rsidR="00595AB0" w:rsidRPr="00AC5330" w:rsidRDefault="00595AB0" w:rsidP="00C761E5">
      <w:pPr>
        <w:pStyle w:val="ListParagraph"/>
        <w:spacing w:after="0" w:line="276" w:lineRule="auto"/>
        <w:rPr>
          <w:rFonts w:ascii="Work Sans" w:hAnsi="Work Sans"/>
          <w:sz w:val="12"/>
          <w:szCs w:val="12"/>
        </w:rPr>
      </w:pPr>
    </w:p>
    <w:p w14:paraId="5A7FF957" w14:textId="461C5F79" w:rsidR="00595AB0" w:rsidRPr="00AC5330" w:rsidRDefault="00392506" w:rsidP="00C761E5">
      <w:pPr>
        <w:pStyle w:val="ListParagraph"/>
        <w:numPr>
          <w:ilvl w:val="0"/>
          <w:numId w:val="4"/>
        </w:numPr>
        <w:spacing w:after="0" w:line="276" w:lineRule="auto"/>
        <w:rPr>
          <w:rFonts w:ascii="Work Sans" w:hAnsi="Work Sans"/>
        </w:rPr>
      </w:pPr>
      <w:r w:rsidRPr="00AC5330">
        <w:rPr>
          <w:rFonts w:ascii="Work Sans" w:hAnsi="Work Sans"/>
        </w:rPr>
        <w:t>Doxycycline can be taken as often as every day, depending on frequency of sexual activity, but individuals should not take more than 200 mg within a 24</w:t>
      </w:r>
      <w:r w:rsidR="00BE0C83" w:rsidRPr="00AC5330">
        <w:rPr>
          <w:rFonts w:ascii="Work Sans" w:hAnsi="Work Sans"/>
        </w:rPr>
        <w:t>-</w:t>
      </w:r>
      <w:r w:rsidRPr="00AC5330">
        <w:rPr>
          <w:rFonts w:ascii="Work Sans" w:hAnsi="Work Sans"/>
        </w:rPr>
        <w:t xml:space="preserve">hour period. </w:t>
      </w:r>
    </w:p>
    <w:p w14:paraId="6CE1B7BF" w14:textId="77777777" w:rsidR="00595AB0" w:rsidRPr="00AC5330" w:rsidRDefault="00595AB0" w:rsidP="00C761E5">
      <w:pPr>
        <w:spacing w:after="0" w:line="276" w:lineRule="auto"/>
        <w:rPr>
          <w:rFonts w:ascii="Work Sans" w:hAnsi="Work Sans"/>
          <w:sz w:val="12"/>
          <w:szCs w:val="12"/>
        </w:rPr>
      </w:pPr>
    </w:p>
    <w:p w14:paraId="647FF995" w14:textId="77777777" w:rsidR="00392506" w:rsidRPr="00AC5330" w:rsidRDefault="00392506" w:rsidP="00C761E5">
      <w:pPr>
        <w:pStyle w:val="ListParagraph"/>
        <w:numPr>
          <w:ilvl w:val="0"/>
          <w:numId w:val="4"/>
        </w:numPr>
        <w:spacing w:after="0" w:line="276" w:lineRule="auto"/>
        <w:rPr>
          <w:rFonts w:ascii="Work Sans" w:hAnsi="Work Sans"/>
        </w:rPr>
      </w:pPr>
      <w:r w:rsidRPr="00AC5330">
        <w:rPr>
          <w:rFonts w:ascii="Work Sans" w:hAnsi="Work Sans"/>
        </w:rPr>
        <w:t xml:space="preserve">Either doxycycline </w:t>
      </w:r>
      <w:proofErr w:type="spellStart"/>
      <w:r w:rsidRPr="00AC5330">
        <w:rPr>
          <w:rFonts w:ascii="Work Sans" w:hAnsi="Work Sans"/>
        </w:rPr>
        <w:t>hyclate</w:t>
      </w:r>
      <w:proofErr w:type="spellEnd"/>
      <w:r w:rsidRPr="00AC5330">
        <w:rPr>
          <w:rFonts w:ascii="Work Sans" w:hAnsi="Work Sans"/>
        </w:rPr>
        <w:t xml:space="preserve"> delayed release 200 mg (1 tab) OR doxycycline </w:t>
      </w:r>
      <w:proofErr w:type="spellStart"/>
      <w:r w:rsidRPr="00AC5330">
        <w:rPr>
          <w:rFonts w:ascii="Work Sans" w:hAnsi="Work Sans"/>
        </w:rPr>
        <w:t>hyclate</w:t>
      </w:r>
      <w:proofErr w:type="spellEnd"/>
      <w:r w:rsidRPr="00AC5330">
        <w:rPr>
          <w:rFonts w:ascii="Work Sans" w:hAnsi="Work Sans"/>
        </w:rPr>
        <w:t xml:space="preserve"> or monohydrate immediate release 100 mg (2 tabs taken simultaneously) are acceptable.</w:t>
      </w:r>
    </w:p>
    <w:p w14:paraId="049B572F" w14:textId="77777777" w:rsidR="00AC5330" w:rsidRPr="00AC5330" w:rsidRDefault="00AC5330" w:rsidP="00C761E5">
      <w:pPr>
        <w:spacing w:after="0" w:line="276" w:lineRule="auto"/>
        <w:rPr>
          <w:rFonts w:ascii="Work Sans" w:hAnsi="Work Sans"/>
          <w:sz w:val="12"/>
          <w:szCs w:val="12"/>
        </w:rPr>
      </w:pPr>
    </w:p>
    <w:p w14:paraId="1C96A764" w14:textId="77777777" w:rsidR="00392506" w:rsidRPr="00AC5330" w:rsidRDefault="00392506" w:rsidP="00C761E5">
      <w:pPr>
        <w:pStyle w:val="ListParagraph"/>
        <w:numPr>
          <w:ilvl w:val="0"/>
          <w:numId w:val="4"/>
        </w:numPr>
        <w:spacing w:after="0" w:line="276" w:lineRule="auto"/>
        <w:rPr>
          <w:rFonts w:ascii="Work Sans" w:hAnsi="Work Sans"/>
        </w:rPr>
      </w:pPr>
      <w:r w:rsidRPr="00AC5330">
        <w:rPr>
          <w:rFonts w:ascii="Work Sans" w:hAnsi="Work Sans"/>
        </w:rPr>
        <w:t xml:space="preserve">Immediate release may be less expensive than delayed release and should be equivalently bioavailable. </w:t>
      </w:r>
    </w:p>
    <w:p w14:paraId="69B5BEC3" w14:textId="77777777" w:rsidR="00AC5330" w:rsidRPr="00AC5330" w:rsidRDefault="00AC5330" w:rsidP="00C761E5">
      <w:pPr>
        <w:spacing w:after="0" w:line="276" w:lineRule="auto"/>
        <w:rPr>
          <w:rFonts w:ascii="Work Sans" w:hAnsi="Work Sans"/>
          <w:sz w:val="12"/>
          <w:szCs w:val="12"/>
        </w:rPr>
      </w:pPr>
    </w:p>
    <w:p w14:paraId="5AA06E22" w14:textId="77777777" w:rsidR="00392506" w:rsidRPr="00AC5330" w:rsidRDefault="00392506" w:rsidP="00C761E5">
      <w:pPr>
        <w:pStyle w:val="ListParagraph"/>
        <w:numPr>
          <w:ilvl w:val="0"/>
          <w:numId w:val="4"/>
        </w:numPr>
        <w:spacing w:after="0" w:line="276" w:lineRule="auto"/>
        <w:rPr>
          <w:rFonts w:ascii="Work Sans" w:hAnsi="Work Sans"/>
        </w:rPr>
      </w:pPr>
      <w:r w:rsidRPr="00AC5330">
        <w:rPr>
          <w:rFonts w:ascii="Work Sans" w:hAnsi="Work Sans"/>
        </w:rPr>
        <w:t>For ICD10 diagnosis code, use Z20.2 (Contact with and (suspected) exposure to infections with a predominantly sexual mode of transmission).</w:t>
      </w:r>
    </w:p>
    <w:p w14:paraId="4FE73014" w14:textId="77777777" w:rsidR="00172EC8" w:rsidRPr="009C6414" w:rsidRDefault="00172EC8" w:rsidP="00C761E5">
      <w:pPr>
        <w:spacing w:line="276" w:lineRule="auto"/>
        <w:rPr>
          <w:rFonts w:ascii="Work Sans" w:hAnsi="Work Sans" w:cs="Times New Roman"/>
          <w:b/>
          <w:bCs/>
          <w:sz w:val="24"/>
          <w:szCs w:val="24"/>
          <w:u w:val="single"/>
        </w:rPr>
      </w:pPr>
    </w:p>
    <w:p w14:paraId="5FCBDC55" w14:textId="6E13FA10" w:rsidR="00685552" w:rsidRPr="001C058D" w:rsidRDefault="00172EC8" w:rsidP="00C761E5">
      <w:pPr>
        <w:spacing w:line="276" w:lineRule="auto"/>
        <w:rPr>
          <w:rFonts w:ascii="Work Sans" w:hAnsi="Work Sans" w:cs="Times New Roman"/>
          <w:b/>
          <w:bCs/>
          <w:color w:val="294581" w:themeColor="accent1"/>
          <w:sz w:val="24"/>
          <w:szCs w:val="24"/>
        </w:rPr>
      </w:pPr>
      <w:r w:rsidRPr="001C058D">
        <w:rPr>
          <w:rFonts w:ascii="Work Sans" w:hAnsi="Work Sans" w:cs="Times New Roman"/>
          <w:b/>
          <w:bCs/>
          <w:color w:val="294581" w:themeColor="accent1"/>
          <w:sz w:val="24"/>
          <w:szCs w:val="24"/>
        </w:rPr>
        <w:t xml:space="preserve">Implementation Protocol </w:t>
      </w:r>
    </w:p>
    <w:p w14:paraId="31DB7313" w14:textId="0D3F4352" w:rsidR="00C731E0" w:rsidRPr="00196A15" w:rsidRDefault="007A7E5A" w:rsidP="00C761E5">
      <w:pPr>
        <w:spacing w:line="276" w:lineRule="auto"/>
        <w:rPr>
          <w:rFonts w:ascii="Work Sans" w:hAnsi="Work Sans" w:cs="Times New Roman"/>
        </w:rPr>
      </w:pPr>
      <w:r w:rsidRPr="00196A15">
        <w:rPr>
          <w:rFonts w:ascii="Work Sans" w:hAnsi="Work Sans" w:cs="Times New Roman"/>
          <w:i/>
          <w:iCs/>
        </w:rPr>
        <w:t>Insert implementation protocols for your clinic</w:t>
      </w:r>
      <w:r w:rsidR="008A468C" w:rsidRPr="00196A15">
        <w:rPr>
          <w:rFonts w:ascii="Work Sans" w:hAnsi="Work Sans" w:cs="Times New Roman"/>
          <w:i/>
          <w:iCs/>
        </w:rPr>
        <w:t xml:space="preserve">, health department, or community-based organization here. </w:t>
      </w:r>
    </w:p>
    <w:sectPr w:rsidR="00C731E0" w:rsidRPr="00196A1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D3CA" w14:textId="77777777" w:rsidR="001A0966" w:rsidRDefault="001A0966" w:rsidP="001A0966">
      <w:pPr>
        <w:spacing w:after="0" w:line="240" w:lineRule="auto"/>
      </w:pPr>
      <w:r>
        <w:separator/>
      </w:r>
    </w:p>
  </w:endnote>
  <w:endnote w:type="continuationSeparator" w:id="0">
    <w:p w14:paraId="1CFFC291" w14:textId="77777777" w:rsidR="001A0966" w:rsidRDefault="001A0966" w:rsidP="001A0966">
      <w:pPr>
        <w:spacing w:after="0" w:line="240" w:lineRule="auto"/>
      </w:pPr>
      <w:r>
        <w:continuationSeparator/>
      </w:r>
    </w:p>
  </w:endnote>
  <w:endnote w:type="continuationNotice" w:id="1">
    <w:p w14:paraId="68620CCB" w14:textId="77777777" w:rsidR="001320C7" w:rsidRDefault="001320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B49F" w14:textId="77777777" w:rsidR="001A0966" w:rsidRDefault="001A0966" w:rsidP="001A0966">
      <w:pPr>
        <w:spacing w:after="0" w:line="240" w:lineRule="auto"/>
      </w:pPr>
      <w:r>
        <w:separator/>
      </w:r>
    </w:p>
  </w:footnote>
  <w:footnote w:type="continuationSeparator" w:id="0">
    <w:p w14:paraId="7E86CC26" w14:textId="77777777" w:rsidR="001A0966" w:rsidRDefault="001A0966" w:rsidP="001A0966">
      <w:pPr>
        <w:spacing w:after="0" w:line="240" w:lineRule="auto"/>
      </w:pPr>
      <w:r>
        <w:continuationSeparator/>
      </w:r>
    </w:p>
  </w:footnote>
  <w:footnote w:type="continuationNotice" w:id="1">
    <w:p w14:paraId="45828DD2" w14:textId="77777777" w:rsidR="001320C7" w:rsidRDefault="001320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2343" w14:textId="0B1929EA" w:rsidR="001A0966" w:rsidRDefault="009C6414">
    <w:pPr>
      <w:pStyle w:val="Header"/>
      <w:rPr>
        <w:b/>
        <w:bCs/>
        <w:noProof/>
      </w:rPr>
    </w:pPr>
    <w:r>
      <w:rPr>
        <w:b/>
        <w:bCs/>
        <w:noProof/>
      </w:rPr>
      <w:drawing>
        <wp:anchor distT="0" distB="0" distL="114300" distR="114300" simplePos="0" relativeHeight="251657216" behindDoc="1" locked="0" layoutInCell="1" allowOverlap="1" wp14:anchorId="00377A4B" wp14:editId="0DD31198">
          <wp:simplePos x="0" y="0"/>
          <wp:positionH relativeFrom="column">
            <wp:posOffset>4572000</wp:posOffset>
          </wp:positionH>
          <wp:positionV relativeFrom="paragraph">
            <wp:posOffset>0</wp:posOffset>
          </wp:positionV>
          <wp:extent cx="1343660" cy="530225"/>
          <wp:effectExtent l="0" t="0" r="8890" b="3175"/>
          <wp:wrapNone/>
          <wp:docPr id="257624391" name="Picture 257624391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624391" name="Picture 2" descr="A black background with a black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6592">
      <w:rPr>
        <w:b/>
        <w:bCs/>
        <w:noProof/>
      </w:rPr>
      <w:drawing>
        <wp:inline distT="0" distB="0" distL="0" distR="0" wp14:anchorId="24A58B8E" wp14:editId="190E0741">
          <wp:extent cx="1343025" cy="526449"/>
          <wp:effectExtent l="0" t="0" r="0" b="6985"/>
          <wp:docPr id="182675896" name="Picture 182675896" descr="A logo with blue and whit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75896" name="Picture 1" descr="A logo with blue and white dot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832" cy="54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D6497" w14:textId="77777777" w:rsidR="00B5308B" w:rsidRDefault="00B5308B">
    <w:pPr>
      <w:pStyle w:val="Header"/>
      <w:rPr>
        <w:b/>
        <w:bCs/>
        <w:noProof/>
      </w:rPr>
    </w:pPr>
  </w:p>
  <w:p w14:paraId="57F67351" w14:textId="77777777" w:rsidR="00B5308B" w:rsidRPr="00392506" w:rsidRDefault="00B5308B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0C5"/>
    <w:multiLevelType w:val="hybridMultilevel"/>
    <w:tmpl w:val="342C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8E88"/>
    <w:multiLevelType w:val="hybridMultilevel"/>
    <w:tmpl w:val="CB065C7E"/>
    <w:lvl w:ilvl="0" w:tplc="B1103476">
      <w:start w:val="1"/>
      <w:numFmt w:val="upperRoman"/>
      <w:lvlText w:val="%1."/>
      <w:lvlJc w:val="right"/>
      <w:pPr>
        <w:ind w:left="720" w:hanging="360"/>
      </w:pPr>
    </w:lvl>
    <w:lvl w:ilvl="1" w:tplc="EFD0BA16">
      <w:start w:val="1"/>
      <w:numFmt w:val="lowerLetter"/>
      <w:lvlText w:val="%2."/>
      <w:lvlJc w:val="left"/>
      <w:pPr>
        <w:ind w:left="1440" w:hanging="360"/>
      </w:pPr>
    </w:lvl>
    <w:lvl w:ilvl="2" w:tplc="844E0D8A">
      <w:start w:val="1"/>
      <w:numFmt w:val="lowerRoman"/>
      <w:lvlText w:val="%3."/>
      <w:lvlJc w:val="right"/>
      <w:pPr>
        <w:ind w:left="2160" w:hanging="180"/>
      </w:pPr>
    </w:lvl>
    <w:lvl w:ilvl="3" w:tplc="E95E7A8C">
      <w:start w:val="1"/>
      <w:numFmt w:val="decimal"/>
      <w:lvlText w:val="%4."/>
      <w:lvlJc w:val="left"/>
      <w:pPr>
        <w:ind w:left="2880" w:hanging="360"/>
      </w:pPr>
    </w:lvl>
    <w:lvl w:ilvl="4" w:tplc="F22E924A">
      <w:start w:val="1"/>
      <w:numFmt w:val="lowerLetter"/>
      <w:lvlText w:val="%5."/>
      <w:lvlJc w:val="left"/>
      <w:pPr>
        <w:ind w:left="3600" w:hanging="360"/>
      </w:pPr>
    </w:lvl>
    <w:lvl w:ilvl="5" w:tplc="89B08520">
      <w:start w:val="1"/>
      <w:numFmt w:val="lowerRoman"/>
      <w:lvlText w:val="%6."/>
      <w:lvlJc w:val="right"/>
      <w:pPr>
        <w:ind w:left="4320" w:hanging="180"/>
      </w:pPr>
    </w:lvl>
    <w:lvl w:ilvl="6" w:tplc="9C1AF970">
      <w:start w:val="1"/>
      <w:numFmt w:val="decimal"/>
      <w:lvlText w:val="%7."/>
      <w:lvlJc w:val="left"/>
      <w:pPr>
        <w:ind w:left="5040" w:hanging="360"/>
      </w:pPr>
    </w:lvl>
    <w:lvl w:ilvl="7" w:tplc="F59E7346">
      <w:start w:val="1"/>
      <w:numFmt w:val="lowerLetter"/>
      <w:lvlText w:val="%8."/>
      <w:lvlJc w:val="left"/>
      <w:pPr>
        <w:ind w:left="5760" w:hanging="360"/>
      </w:pPr>
    </w:lvl>
    <w:lvl w:ilvl="8" w:tplc="DF1CF4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82113"/>
    <w:multiLevelType w:val="multilevel"/>
    <w:tmpl w:val="02C8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61889"/>
    <w:multiLevelType w:val="hybridMultilevel"/>
    <w:tmpl w:val="C7C2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2147">
    <w:abstractNumId w:val="3"/>
  </w:num>
  <w:num w:numId="2" w16cid:durableId="657616040">
    <w:abstractNumId w:val="1"/>
  </w:num>
  <w:num w:numId="3" w16cid:durableId="132531115">
    <w:abstractNumId w:val="2"/>
  </w:num>
  <w:num w:numId="4" w16cid:durableId="79849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B1"/>
    <w:rsid w:val="0009518F"/>
    <w:rsid w:val="000A3CE9"/>
    <w:rsid w:val="000B4F85"/>
    <w:rsid w:val="000B6432"/>
    <w:rsid w:val="000C560B"/>
    <w:rsid w:val="000C7B9E"/>
    <w:rsid w:val="000F7933"/>
    <w:rsid w:val="00111365"/>
    <w:rsid w:val="00121C08"/>
    <w:rsid w:val="001320C7"/>
    <w:rsid w:val="00170A8C"/>
    <w:rsid w:val="0017128D"/>
    <w:rsid w:val="00172EC8"/>
    <w:rsid w:val="00196A15"/>
    <w:rsid w:val="001A0966"/>
    <w:rsid w:val="001A4DFD"/>
    <w:rsid w:val="001B1A30"/>
    <w:rsid w:val="001C058D"/>
    <w:rsid w:val="001D37B3"/>
    <w:rsid w:val="00284F44"/>
    <w:rsid w:val="002D24B7"/>
    <w:rsid w:val="003152C0"/>
    <w:rsid w:val="00324AB9"/>
    <w:rsid w:val="00334140"/>
    <w:rsid w:val="0034451C"/>
    <w:rsid w:val="00392506"/>
    <w:rsid w:val="003B4CC6"/>
    <w:rsid w:val="003E7439"/>
    <w:rsid w:val="00401AEA"/>
    <w:rsid w:val="004158B2"/>
    <w:rsid w:val="00431011"/>
    <w:rsid w:val="004A4797"/>
    <w:rsid w:val="004F61CB"/>
    <w:rsid w:val="00550A99"/>
    <w:rsid w:val="00595AB0"/>
    <w:rsid w:val="0060692D"/>
    <w:rsid w:val="006217FC"/>
    <w:rsid w:val="00685552"/>
    <w:rsid w:val="006E222D"/>
    <w:rsid w:val="006F4D67"/>
    <w:rsid w:val="007411CD"/>
    <w:rsid w:val="00785BBF"/>
    <w:rsid w:val="00786339"/>
    <w:rsid w:val="007A36EB"/>
    <w:rsid w:val="007A7E5A"/>
    <w:rsid w:val="007E0D61"/>
    <w:rsid w:val="00810FA1"/>
    <w:rsid w:val="008133C0"/>
    <w:rsid w:val="00853F26"/>
    <w:rsid w:val="00885570"/>
    <w:rsid w:val="008A468C"/>
    <w:rsid w:val="008C3478"/>
    <w:rsid w:val="008D4FC2"/>
    <w:rsid w:val="009031DD"/>
    <w:rsid w:val="00985DB1"/>
    <w:rsid w:val="009C6414"/>
    <w:rsid w:val="009D49A5"/>
    <w:rsid w:val="009E2714"/>
    <w:rsid w:val="00A30B8E"/>
    <w:rsid w:val="00A63849"/>
    <w:rsid w:val="00A870AF"/>
    <w:rsid w:val="00AB4D0F"/>
    <w:rsid w:val="00AC5330"/>
    <w:rsid w:val="00AD532D"/>
    <w:rsid w:val="00AE4675"/>
    <w:rsid w:val="00AF6822"/>
    <w:rsid w:val="00B226B0"/>
    <w:rsid w:val="00B2471D"/>
    <w:rsid w:val="00B5308B"/>
    <w:rsid w:val="00B97020"/>
    <w:rsid w:val="00BA3261"/>
    <w:rsid w:val="00BA35DC"/>
    <w:rsid w:val="00BE0C83"/>
    <w:rsid w:val="00C01CF2"/>
    <w:rsid w:val="00C02298"/>
    <w:rsid w:val="00C06592"/>
    <w:rsid w:val="00C65B2A"/>
    <w:rsid w:val="00C731E0"/>
    <w:rsid w:val="00C761E5"/>
    <w:rsid w:val="00D1300C"/>
    <w:rsid w:val="00D47132"/>
    <w:rsid w:val="00D53ED1"/>
    <w:rsid w:val="00D60C1C"/>
    <w:rsid w:val="00DD557F"/>
    <w:rsid w:val="00DE1721"/>
    <w:rsid w:val="00E03B64"/>
    <w:rsid w:val="00E81CD0"/>
    <w:rsid w:val="00EA6ED9"/>
    <w:rsid w:val="00EB0730"/>
    <w:rsid w:val="00EF6E24"/>
    <w:rsid w:val="00FD718E"/>
    <w:rsid w:val="00FD79BD"/>
    <w:rsid w:val="00FE1F14"/>
    <w:rsid w:val="2B8ACC4C"/>
    <w:rsid w:val="388FB4FD"/>
    <w:rsid w:val="529BC1D0"/>
    <w:rsid w:val="576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2F509"/>
  <w15:chartTrackingRefBased/>
  <w15:docId w15:val="{F3D9E6D3-1699-4559-BA77-3517B253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66"/>
  </w:style>
  <w:style w:type="paragraph" w:styleId="Footer">
    <w:name w:val="footer"/>
    <w:basedOn w:val="Normal"/>
    <w:link w:val="FooterChar"/>
    <w:uiPriority w:val="99"/>
    <w:unhideWhenUsed/>
    <w:rsid w:val="001A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66"/>
  </w:style>
  <w:style w:type="character" w:styleId="Hyperlink">
    <w:name w:val="Hyperlink"/>
    <w:basedOn w:val="DefaultParagraphFont"/>
    <w:uiPriority w:val="99"/>
    <w:unhideWhenUsed/>
    <w:rsid w:val="00FD79BD"/>
    <w:rPr>
      <w:color w:val="19A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edia/releases/2023/s0411-st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std/statistics/2021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ejm.org/doi/full/10.1056/NEJMoa2211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jm.org/doi/full/10.1056/NEJMoa221193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SD">
      <a:dk1>
        <a:srgbClr val="030D26"/>
      </a:dk1>
      <a:lt1>
        <a:sysClr val="window" lastClr="FFFFFF"/>
      </a:lt1>
      <a:dk2>
        <a:srgbClr val="202F5A"/>
      </a:dk2>
      <a:lt2>
        <a:srgbClr val="F6F4F0"/>
      </a:lt2>
      <a:accent1>
        <a:srgbClr val="294581"/>
      </a:accent1>
      <a:accent2>
        <a:srgbClr val="3972A9"/>
      </a:accent2>
      <a:accent3>
        <a:srgbClr val="A5A5A5"/>
      </a:accent3>
      <a:accent4>
        <a:srgbClr val="DBE8F3"/>
      </a:accent4>
      <a:accent5>
        <a:srgbClr val="F5B544"/>
      </a:accent5>
      <a:accent6>
        <a:srgbClr val="E6F6F1"/>
      </a:accent6>
      <a:hlink>
        <a:srgbClr val="19A88D"/>
      </a:hlink>
      <a:folHlink>
        <a:srgbClr val="9B97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24" baseType="variant"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https://www.nejm.org/doi/full/10.1056/NEJMoa2211934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https://www.nejm.org/doi/full/10.1056/NEJMoa2211934</vt:lpwstr>
      </vt:variant>
      <vt:variant>
        <vt:lpwstr/>
      </vt:variant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https://www.cdc.gov/media/releases/2023/s0411-sti.html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https://www.cdc.gov/std/statistics/2021/default.htm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Mahn</dc:creator>
  <cp:keywords/>
  <dc:description/>
  <cp:lastModifiedBy>Elizabeth Finley</cp:lastModifiedBy>
  <cp:revision>2</cp:revision>
  <dcterms:created xsi:type="dcterms:W3CDTF">2023-07-14T18:32:00Z</dcterms:created>
  <dcterms:modified xsi:type="dcterms:W3CDTF">2023-07-14T18:32:00Z</dcterms:modified>
</cp:coreProperties>
</file>